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80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MATR</w:t>
      </w:r>
      <w:r w:rsidR="000A03B4" w:rsidRPr="002D00DE">
        <w:rPr>
          <w:rFonts w:ascii="Montserrat" w:hAnsi="Montserrat"/>
        </w:rPr>
        <w:t>I</w:t>
      </w:r>
      <w:r w:rsidRPr="002D00DE">
        <w:rPr>
          <w:rFonts w:ascii="Montserrat" w:hAnsi="Montserrat"/>
        </w:rPr>
        <w:t xml:space="preserve">Z DE INDICADORES </w:t>
      </w:r>
      <w:r w:rsidR="003115CD" w:rsidRPr="002D00DE">
        <w:rPr>
          <w:rFonts w:ascii="Montserrat" w:hAnsi="Montserrat"/>
        </w:rPr>
        <w:t>20</w:t>
      </w:r>
      <w:r w:rsidR="003115CD">
        <w:rPr>
          <w:rFonts w:ascii="Montserrat" w:hAnsi="Montserrat"/>
        </w:rPr>
        <w:t>20</w:t>
      </w:r>
    </w:p>
    <w:p w:rsidR="000A03B4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 xml:space="preserve">DEL PROGRAMA FORMACIÓN Y CAPACITACIÓN </w:t>
      </w:r>
    </w:p>
    <w:p w:rsidR="00B03766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DE RECURSOS HUMANOS PARA LA SALUD</w:t>
      </w:r>
    </w:p>
    <w:p w:rsidR="00B03766" w:rsidRPr="002D00DE" w:rsidRDefault="00B03766" w:rsidP="00B03766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FICHA TÉCNICA</w:t>
      </w:r>
      <w:r w:rsidR="00EA2E80" w:rsidRPr="002D00DE">
        <w:rPr>
          <w:rFonts w:ascii="Montserrat" w:hAnsi="Montserrat"/>
        </w:rPr>
        <w:t xml:space="preserve"> </w:t>
      </w:r>
      <w:r w:rsidR="004E4A11" w:rsidRPr="00840206">
        <w:rPr>
          <w:rFonts w:ascii="Montserrat" w:hAnsi="Montserrat"/>
          <w:highlight w:val="yellow"/>
        </w:rPr>
        <w:t>SEPTIEMBRE 11 2019 FINAL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D00DE" w:rsidTr="008F525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D00DE" w:rsidRDefault="00315477" w:rsidP="006608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660890"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espacios académicos ocupados</w:t>
            </w:r>
          </w:p>
        </w:tc>
      </w:tr>
      <w:tr w:rsidR="008325CB" w:rsidRPr="002D00DE" w:rsidTr="008F525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D00D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D00DE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D00DE" w:rsidTr="0014257E">
        <w:tc>
          <w:tcPr>
            <w:tcW w:w="10398" w:type="dxa"/>
            <w:gridSpan w:val="26"/>
            <w:shd w:val="clear" w:color="auto" w:fill="auto"/>
          </w:tcPr>
          <w:p w:rsidR="00E87793" w:rsidRPr="002D00D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D00D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D00DE" w:rsidTr="0014257E">
        <w:tc>
          <w:tcPr>
            <w:tcW w:w="4320" w:type="dxa"/>
            <w:gridSpan w:val="10"/>
            <w:shd w:val="clear" w:color="auto" w:fill="auto"/>
          </w:tcPr>
          <w:p w:rsidR="007C13B1" w:rsidRPr="002D00D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D00D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de posgrado y educación continua en las unidades / entidades ejecutoras del programa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D00D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2D00DE" w:rsidRDefault="00F716EC" w:rsidP="00771D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2D00DE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A064A" w:rsidRPr="002D00DE">
              <w:rPr>
                <w:rFonts w:ascii="Montserrat" w:hAnsi="Montserrat" w:cs="Arial"/>
                <w:bCs/>
                <w:sz w:val="20"/>
                <w:szCs w:val="20"/>
              </w:rPr>
              <w:t>Detección de necesidades</w:t>
            </w:r>
            <w:r w:rsidR="009B0967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</w:p>
        </w:tc>
      </w:tr>
      <w:tr w:rsidR="00E23603" w:rsidRPr="002D00DE" w:rsidTr="008F525E">
        <w:tc>
          <w:tcPr>
            <w:tcW w:w="10398" w:type="dxa"/>
            <w:gridSpan w:val="26"/>
            <w:shd w:val="clear" w:color="auto" w:fill="C00000"/>
          </w:tcPr>
          <w:p w:rsidR="00E23603" w:rsidRPr="002D00D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D00DE" w:rsidTr="0014257E">
        <w:tc>
          <w:tcPr>
            <w:tcW w:w="4680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D00DE" w:rsidRDefault="0080618D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2D00DE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2D00DE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C47499" w:rsidRPr="002D00DE" w:rsidRDefault="00771D83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Porcentaje </w:t>
            </w:r>
            <w:r w:rsidR="00090385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de</w:t>
            </w:r>
            <w:r w:rsidR="007A064A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D10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espacios académicos ocupados </w:t>
            </w:r>
          </w:p>
          <w:p w:rsidR="00A46E08" w:rsidRPr="002D00DE" w:rsidRDefault="00330D8F" w:rsidP="00C4749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D00DE" w:rsidRDefault="00E15C64" w:rsidP="002216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221606" w:rsidRPr="002D00DE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2D00DE" w:rsidTr="0014257E">
        <w:tc>
          <w:tcPr>
            <w:tcW w:w="4680" w:type="dxa"/>
            <w:gridSpan w:val="12"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16471" w:rsidRPr="002D00DE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D00DE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3671D2" w:rsidRPr="002D00DE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D7D04" w:rsidRPr="002D00DE" w:rsidRDefault="004D7D04" w:rsidP="001C601E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Denota la proporción de espacios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académicos</w:t>
            </w:r>
            <w:r w:rsidR="006844D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disponibles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frente a los cubiertos por las instituciones </w:t>
            </w:r>
          </w:p>
          <w:p w:rsidR="000A03B4" w:rsidRPr="002D00DE" w:rsidRDefault="000A03B4" w:rsidP="000A03B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16471" w:rsidRPr="002D00DE" w:rsidRDefault="00C16471" w:rsidP="00950344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54F43" w:rsidRPr="002D00DE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</w:t>
            </w:r>
            <w:r w:rsidR="0002777D" w:rsidRPr="002D00DE">
              <w:rPr>
                <w:rFonts w:ascii="Montserrat" w:hAnsi="Montserrat" w:cs="Arial"/>
                <w:sz w:val="20"/>
                <w:szCs w:val="20"/>
              </w:rPr>
              <w:t xml:space="preserve">educativos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</w:p>
          <w:p w:rsidR="00CB0947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cubiertos </w:t>
            </w:r>
            <w:r w:rsidRPr="007860CF">
              <w:rPr>
                <w:rFonts w:ascii="Montserrat" w:hAnsi="Montserrat" w:cs="Arial"/>
                <w:sz w:val="20"/>
                <w:szCs w:val="20"/>
              </w:rPr>
              <w:t>(</w:t>
            </w:r>
            <w:r w:rsidR="003D0021" w:rsidRPr="007860CF">
              <w:rPr>
                <w:rFonts w:ascii="Montserrat" w:hAnsi="Montserrat" w:cs="Arial"/>
                <w:sz w:val="20"/>
                <w:szCs w:val="20"/>
              </w:rPr>
              <w:t>plazas</w:t>
            </w:r>
            <w:r w:rsidR="003D0021" w:rsidRPr="003D0021">
              <w:rPr>
                <w:rFonts w:ascii="Montserrat" w:hAnsi="Montserrat" w:cs="Arial"/>
                <w:sz w:val="20"/>
                <w:szCs w:val="20"/>
                <w:highlight w:val="yellow"/>
              </w:rPr>
              <w:t>,</w:t>
            </w:r>
            <w:r w:rsidR="003D00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cula)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</w:p>
          <w:p w:rsidR="00950344" w:rsidRPr="002D00DE" w:rsidRDefault="00CD342F" w:rsidP="00CB0947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educativos de posgrado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institució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x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100</w:t>
            </w:r>
          </w:p>
          <w:p w:rsidR="004E69AE" w:rsidRPr="002D00DE" w:rsidRDefault="004E69AE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16471" w:rsidRPr="002D00DE" w:rsidRDefault="00C16471" w:rsidP="0095034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D00DE" w:rsidRDefault="00814814" w:rsidP="00950344">
            <w:pPr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P</w:t>
            </w:r>
            <w:r w:rsidR="00950344" w:rsidRPr="002D00DE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D00D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D00DE" w:rsidTr="008F525E">
        <w:tc>
          <w:tcPr>
            <w:tcW w:w="10398" w:type="dxa"/>
            <w:gridSpan w:val="26"/>
            <w:shd w:val="clear" w:color="auto" w:fill="C00000"/>
          </w:tcPr>
          <w:p w:rsidR="004C04C3" w:rsidRPr="002D00D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</w:tcPr>
          <w:p w:rsidR="0053138B" w:rsidRPr="002D00DE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D00D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D00D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D00DE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D00DE" w:rsidRDefault="000A03B4" w:rsidP="000A03B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D00DE" w:rsidTr="0014257E">
        <w:tc>
          <w:tcPr>
            <w:tcW w:w="10398" w:type="dxa"/>
            <w:gridSpan w:val="26"/>
            <w:shd w:val="clear" w:color="auto" w:fill="auto"/>
          </w:tcPr>
          <w:p w:rsidR="001D25BE" w:rsidRPr="002D00DE" w:rsidRDefault="001D25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D00D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uso pleno de los espacios educativos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disponibles para cumplir con la actividad </w:t>
            </w:r>
            <w:r w:rsidR="002D00DE" w:rsidRPr="002D00DE">
              <w:rPr>
                <w:rFonts w:ascii="Montserrat" w:hAnsi="Montserrat" w:cs="Arial"/>
                <w:bCs/>
                <w:sz w:val="18"/>
                <w:szCs w:val="18"/>
              </w:rPr>
              <w:t>sustantiva</w:t>
            </w:r>
          </w:p>
          <w:p w:rsidR="00205923" w:rsidRPr="002D00DE" w:rsidRDefault="002D00DE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institucional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Los datos base del in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dicador está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</w:t>
            </w:r>
            <w:r w:rsidR="009B04A9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aprovechamiento de los recursos institucionales en enseñanza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Permite establecer las necesidades de incremento de plazas de residentes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y/o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</w:t>
            </w:r>
            <w:r w:rsidR="007F08CC" w:rsidRP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lidad</w:t>
            </w:r>
          </w:p>
          <w:p w:rsidR="002D00DE" w:rsidRDefault="002D00DE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espacios educativos no cubiertos para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para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estudiantes de posgrado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de acuerdo a la</w:t>
            </w:r>
          </w:p>
          <w:p w:rsidR="002D00DE" w:rsidRDefault="002D00DE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infraestructura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disponible 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78473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nstitucional que se traduce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en campos clínicos disponibles o</w:t>
            </w:r>
          </w:p>
          <w:p w:rsidR="00A255D7" w:rsidRPr="002D00DE" w:rsidRDefault="002D00DE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</w:t>
            </w:r>
            <w:proofErr w:type="gramStart"/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matrícula</w:t>
            </w:r>
            <w:proofErr w:type="gramEnd"/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máxima posible de acuerdo a los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recursos institucionales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para la enseñanza.</w:t>
            </w:r>
          </w:p>
          <w:p w:rsidR="000A03B4" w:rsidRPr="002D00DE" w:rsidRDefault="000A03B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D00DE" w:rsidTr="0014257E">
        <w:tc>
          <w:tcPr>
            <w:tcW w:w="10398" w:type="dxa"/>
            <w:gridSpan w:val="26"/>
            <w:shd w:val="clear" w:color="auto" w:fill="auto"/>
          </w:tcPr>
          <w:p w:rsidR="00562A84" w:rsidRPr="002D00DE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66E9B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54FA2" w:rsidRPr="002D00DE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B1FA0" w:rsidRPr="002D00DE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81ED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1D25BE" w:rsidRPr="002D00DE" w:rsidRDefault="00AA719A" w:rsidP="000A0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2D00DE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2D00DE" w:rsidTr="008F525E">
        <w:tc>
          <w:tcPr>
            <w:tcW w:w="10398" w:type="dxa"/>
            <w:gridSpan w:val="26"/>
            <w:shd w:val="clear" w:color="auto" w:fill="C00000"/>
          </w:tcPr>
          <w:p w:rsidR="00712663" w:rsidRPr="002D00D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D00DE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E52F85" w:rsidRPr="002D00DE" w:rsidRDefault="0024599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96.4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52F85" w:rsidRPr="002D00DE" w:rsidRDefault="007F46F3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E52F85" w:rsidRPr="002D00DE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2D00DE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C31E39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Enero-Diciembre  </w:t>
            </w:r>
          </w:p>
        </w:tc>
      </w:tr>
      <w:tr w:rsidR="00E52F85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2D00DE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2D00DE" w:rsidTr="002A727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5A4DFA" w:rsidRPr="002D00DE" w:rsidRDefault="00893036" w:rsidP="00DA2BA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93036" w:rsidRPr="002D00DE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D00DE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2D00DE" w:rsidTr="008F525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2D00DE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A3D8B" w:rsidRPr="002D00DE" w:rsidRDefault="002E3FD8" w:rsidP="008F525E">
            <w:pPr>
              <w:tabs>
                <w:tab w:val="num" w:pos="83"/>
              </w:tabs>
              <w:ind w:left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3A30A7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cubiertos (</w:t>
            </w:r>
            <w:r w:rsidR="002D00DE" w:rsidRPr="00F872F7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plazas,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cula)</w:t>
            </w:r>
          </w:p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V2</w:t>
            </w:r>
          </w:p>
          <w:p w:rsidR="00562877" w:rsidRPr="002D00DE" w:rsidRDefault="003A30A7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</w:t>
            </w:r>
            <w:r w:rsidR="00A82EB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 institución</w:t>
            </w:r>
          </w:p>
          <w:p w:rsidR="002E3FD8" w:rsidRPr="002D00DE" w:rsidRDefault="002E3FD8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62877" w:rsidRPr="002D00DE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16471" w:rsidRPr="002D00DE" w:rsidRDefault="00C16471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Número 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de plazas de médicos residentes ocupadas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, becas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no clínico ocupada</w:t>
            </w:r>
          </w:p>
          <w:p w:rsidR="003671D2" w:rsidRPr="002D00DE" w:rsidRDefault="003671D2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espacios académicos disponibles para la formación de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médicos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especialistas y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disponible</w:t>
            </w:r>
            <w:r w:rsidR="00C41A7B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7B44DC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</w:t>
            </w:r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 acuerdo a la infraestructura y recursos institucionales</w:t>
            </w:r>
          </w:p>
          <w:p w:rsidR="006A3D8B" w:rsidRPr="002D00DE" w:rsidRDefault="006A3D8B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2D00DE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62680A" w:rsidRPr="008F525E" w:rsidRDefault="0062680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5385C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5385C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60890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2020.</w:t>
            </w:r>
          </w:p>
          <w:p w:rsidR="003671D2" w:rsidRPr="008F525E" w:rsidRDefault="0045385C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</w:t>
            </w:r>
            <w:r w:rsidR="00660890" w:rsidRPr="008F525E">
              <w:rPr>
                <w:rFonts w:ascii="Montserrat" w:hAnsi="Montserrat" w:cs="Arial"/>
                <w:bCs/>
                <w:sz w:val="20"/>
                <w:szCs w:val="20"/>
              </w:rPr>
              <w:t>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64483" w:rsidRPr="005D720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L</w:t>
            </w:r>
            <w:r w:rsidR="002D00DE" w:rsidRPr="008F525E">
              <w:rPr>
                <w:rFonts w:ascii="Montserrat" w:hAnsi="Montserrat" w:cs="Arial"/>
                <w:bCs/>
                <w:sz w:val="16"/>
                <w:szCs w:val="16"/>
              </w:rPr>
              <w:t>l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>ata Romero</w:t>
            </w:r>
          </w:p>
        </w:tc>
        <w:tc>
          <w:tcPr>
            <w:tcW w:w="360" w:type="dxa"/>
            <w:vMerge/>
            <w:shd w:val="clear" w:color="auto" w:fill="auto"/>
          </w:tcPr>
          <w:p w:rsidR="0062680A" w:rsidRPr="002D00DE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2680A" w:rsidRPr="002D00DE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2680A" w:rsidRPr="002D00DE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3671D2" w:rsidRPr="002D00DE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660890" w:rsidRPr="008F525E" w:rsidRDefault="00660890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60890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E010, 2020.</w:t>
            </w:r>
          </w:p>
          <w:p w:rsidR="00660890" w:rsidRPr="008F525E" w:rsidRDefault="00660890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Porcentaje de 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64483" w:rsidRPr="005D720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L</w:t>
            </w:r>
            <w:r w:rsidR="002D00DE" w:rsidRPr="008F525E">
              <w:rPr>
                <w:rFonts w:ascii="Montserrat" w:hAnsi="Montserrat" w:cs="Arial"/>
                <w:bCs/>
                <w:sz w:val="16"/>
                <w:szCs w:val="16"/>
              </w:rPr>
              <w:t>l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>ata Romero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60890" w:rsidRPr="002D00DE" w:rsidRDefault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659BF" w:rsidRPr="002D00DE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202</w:t>
            </w:r>
            <w:r w:rsidR="004659BF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1</w:t>
            </w:r>
            <w:r w:rsidR="004659BF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(Definitivo)                     </w:t>
            </w: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660890" w:rsidRPr="002D00DE" w:rsidTr="000A5A60">
        <w:trPr>
          <w:trHeight w:val="400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60890" w:rsidRPr="002D00DE" w:rsidTr="00DA2BA3">
        <w:trPr>
          <w:trHeight w:val="204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8F525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Default="00660890" w:rsidP="008F525E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>Espacio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4D6">
              <w:rPr>
                <w:rFonts w:ascii="Montserrat" w:hAnsi="Montserrat" w:cs="Arial"/>
                <w:b/>
                <w:bCs/>
                <w:sz w:val="20"/>
                <w:szCs w:val="20"/>
              </w:rPr>
              <w:t>académico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6844D6"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se refiere a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l número de 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becas y 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la matr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cula autorizada </w:t>
            </w:r>
            <w:r w:rsidR="00B13F1C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los cursos de posgrado.</w:t>
            </w:r>
          </w:p>
          <w:p w:rsidR="00DA2BA3" w:rsidRPr="002D00DE" w:rsidRDefault="00DA2BA3" w:rsidP="00387317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D00DE" w:rsidRDefault="00E92259" w:rsidP="004E399E">
      <w:pPr>
        <w:rPr>
          <w:rFonts w:ascii="Montserrat" w:hAnsi="Montserrat"/>
        </w:rPr>
      </w:pPr>
    </w:p>
    <w:sectPr w:rsidR="00E92259" w:rsidRPr="002D00D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C575FC"/>
    <w:multiLevelType w:val="hybridMultilevel"/>
    <w:tmpl w:val="F544DF28"/>
    <w:lvl w:ilvl="0" w:tplc="E0B6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77D"/>
    <w:rsid w:val="000279B2"/>
    <w:rsid w:val="00027E79"/>
    <w:rsid w:val="000372AE"/>
    <w:rsid w:val="000408FC"/>
    <w:rsid w:val="00045EEE"/>
    <w:rsid w:val="00051E36"/>
    <w:rsid w:val="000529C9"/>
    <w:rsid w:val="00056194"/>
    <w:rsid w:val="00061691"/>
    <w:rsid w:val="00065B24"/>
    <w:rsid w:val="00071C95"/>
    <w:rsid w:val="0007663E"/>
    <w:rsid w:val="00076C42"/>
    <w:rsid w:val="00082BE4"/>
    <w:rsid w:val="00083114"/>
    <w:rsid w:val="00084155"/>
    <w:rsid w:val="00086F89"/>
    <w:rsid w:val="00090385"/>
    <w:rsid w:val="000950E6"/>
    <w:rsid w:val="00095184"/>
    <w:rsid w:val="000A03B4"/>
    <w:rsid w:val="000A24E1"/>
    <w:rsid w:val="000A2993"/>
    <w:rsid w:val="000A5A60"/>
    <w:rsid w:val="000B009A"/>
    <w:rsid w:val="000B3FD2"/>
    <w:rsid w:val="000B4337"/>
    <w:rsid w:val="000D3ED4"/>
    <w:rsid w:val="000D4D17"/>
    <w:rsid w:val="000D7076"/>
    <w:rsid w:val="000E3C00"/>
    <w:rsid w:val="000E3CC9"/>
    <w:rsid w:val="000E63D2"/>
    <w:rsid w:val="000E7ADE"/>
    <w:rsid w:val="000F55CE"/>
    <w:rsid w:val="000F7887"/>
    <w:rsid w:val="00100AE9"/>
    <w:rsid w:val="0010187F"/>
    <w:rsid w:val="00111673"/>
    <w:rsid w:val="00111695"/>
    <w:rsid w:val="001124C2"/>
    <w:rsid w:val="00113F67"/>
    <w:rsid w:val="00125E79"/>
    <w:rsid w:val="0012611A"/>
    <w:rsid w:val="00134A05"/>
    <w:rsid w:val="00134A3D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1BDE"/>
    <w:rsid w:val="001925EF"/>
    <w:rsid w:val="00195C21"/>
    <w:rsid w:val="00197F57"/>
    <w:rsid w:val="001A18C7"/>
    <w:rsid w:val="001A5857"/>
    <w:rsid w:val="001B02A6"/>
    <w:rsid w:val="001B02EE"/>
    <w:rsid w:val="001B4CA9"/>
    <w:rsid w:val="001C2315"/>
    <w:rsid w:val="001C4AB2"/>
    <w:rsid w:val="001C601E"/>
    <w:rsid w:val="001D103F"/>
    <w:rsid w:val="001D1B0E"/>
    <w:rsid w:val="001D1E93"/>
    <w:rsid w:val="001D25BE"/>
    <w:rsid w:val="001D42E4"/>
    <w:rsid w:val="001D5BB3"/>
    <w:rsid w:val="001D73C0"/>
    <w:rsid w:val="001E0819"/>
    <w:rsid w:val="001E2022"/>
    <w:rsid w:val="001E29D2"/>
    <w:rsid w:val="001F72A4"/>
    <w:rsid w:val="0020143D"/>
    <w:rsid w:val="00202028"/>
    <w:rsid w:val="00205923"/>
    <w:rsid w:val="002064A0"/>
    <w:rsid w:val="00206F22"/>
    <w:rsid w:val="00207D90"/>
    <w:rsid w:val="00213FFC"/>
    <w:rsid w:val="00215E4E"/>
    <w:rsid w:val="002173FA"/>
    <w:rsid w:val="002216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5276"/>
    <w:rsid w:val="0024599C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1CC6"/>
    <w:rsid w:val="00284C01"/>
    <w:rsid w:val="00290AFC"/>
    <w:rsid w:val="002A04BD"/>
    <w:rsid w:val="002A152C"/>
    <w:rsid w:val="002A4E9F"/>
    <w:rsid w:val="002A6B43"/>
    <w:rsid w:val="002A727E"/>
    <w:rsid w:val="002B1767"/>
    <w:rsid w:val="002B5933"/>
    <w:rsid w:val="002C102A"/>
    <w:rsid w:val="002C73C5"/>
    <w:rsid w:val="002D00DE"/>
    <w:rsid w:val="002E0C63"/>
    <w:rsid w:val="002E24CF"/>
    <w:rsid w:val="002E3FD8"/>
    <w:rsid w:val="002E5808"/>
    <w:rsid w:val="002E5CAC"/>
    <w:rsid w:val="002E70D2"/>
    <w:rsid w:val="002F0596"/>
    <w:rsid w:val="002F1C19"/>
    <w:rsid w:val="002F31A0"/>
    <w:rsid w:val="002F3E7B"/>
    <w:rsid w:val="002F6204"/>
    <w:rsid w:val="003068AC"/>
    <w:rsid w:val="00310CD4"/>
    <w:rsid w:val="003115CD"/>
    <w:rsid w:val="00311948"/>
    <w:rsid w:val="00311D7C"/>
    <w:rsid w:val="00312203"/>
    <w:rsid w:val="00313F80"/>
    <w:rsid w:val="003151D2"/>
    <w:rsid w:val="00315477"/>
    <w:rsid w:val="0031574C"/>
    <w:rsid w:val="00316DE8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483"/>
    <w:rsid w:val="00364946"/>
    <w:rsid w:val="003671D2"/>
    <w:rsid w:val="003677F6"/>
    <w:rsid w:val="00370CD2"/>
    <w:rsid w:val="00375194"/>
    <w:rsid w:val="00375515"/>
    <w:rsid w:val="00376850"/>
    <w:rsid w:val="00377CFE"/>
    <w:rsid w:val="003809B8"/>
    <w:rsid w:val="0038156C"/>
    <w:rsid w:val="003830CD"/>
    <w:rsid w:val="00383B5E"/>
    <w:rsid w:val="00384C8A"/>
    <w:rsid w:val="00387317"/>
    <w:rsid w:val="00392A7D"/>
    <w:rsid w:val="00397B74"/>
    <w:rsid w:val="003A30A7"/>
    <w:rsid w:val="003A3330"/>
    <w:rsid w:val="003A33C5"/>
    <w:rsid w:val="003B04A2"/>
    <w:rsid w:val="003B1FF8"/>
    <w:rsid w:val="003B20BE"/>
    <w:rsid w:val="003B2AFA"/>
    <w:rsid w:val="003B3EBE"/>
    <w:rsid w:val="003B3F6C"/>
    <w:rsid w:val="003B684C"/>
    <w:rsid w:val="003B70EC"/>
    <w:rsid w:val="003B7B79"/>
    <w:rsid w:val="003C0E2B"/>
    <w:rsid w:val="003C13CA"/>
    <w:rsid w:val="003C2D75"/>
    <w:rsid w:val="003C4381"/>
    <w:rsid w:val="003C5519"/>
    <w:rsid w:val="003D0021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A18"/>
    <w:rsid w:val="00407C34"/>
    <w:rsid w:val="00414CDE"/>
    <w:rsid w:val="00415522"/>
    <w:rsid w:val="004216B0"/>
    <w:rsid w:val="00422CF6"/>
    <w:rsid w:val="0042356D"/>
    <w:rsid w:val="00425B45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385C"/>
    <w:rsid w:val="0045632E"/>
    <w:rsid w:val="00461577"/>
    <w:rsid w:val="00463930"/>
    <w:rsid w:val="004659BF"/>
    <w:rsid w:val="00467CBF"/>
    <w:rsid w:val="00472978"/>
    <w:rsid w:val="0047580B"/>
    <w:rsid w:val="00477FDB"/>
    <w:rsid w:val="004819FB"/>
    <w:rsid w:val="00481CEE"/>
    <w:rsid w:val="00485E51"/>
    <w:rsid w:val="0048708D"/>
    <w:rsid w:val="0049576C"/>
    <w:rsid w:val="00495ADD"/>
    <w:rsid w:val="00497FB0"/>
    <w:rsid w:val="004A5508"/>
    <w:rsid w:val="004A573E"/>
    <w:rsid w:val="004A6667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D7D04"/>
    <w:rsid w:val="004E184C"/>
    <w:rsid w:val="004E399E"/>
    <w:rsid w:val="004E4A11"/>
    <w:rsid w:val="004E5B50"/>
    <w:rsid w:val="004E69AE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52675"/>
    <w:rsid w:val="00555376"/>
    <w:rsid w:val="00555F07"/>
    <w:rsid w:val="005622EA"/>
    <w:rsid w:val="00562877"/>
    <w:rsid w:val="00562A84"/>
    <w:rsid w:val="00566E9B"/>
    <w:rsid w:val="00571F91"/>
    <w:rsid w:val="005757ED"/>
    <w:rsid w:val="0058105F"/>
    <w:rsid w:val="005837BE"/>
    <w:rsid w:val="00584B30"/>
    <w:rsid w:val="00590FAF"/>
    <w:rsid w:val="005910EE"/>
    <w:rsid w:val="005922B9"/>
    <w:rsid w:val="00592DBD"/>
    <w:rsid w:val="00593811"/>
    <w:rsid w:val="005944CA"/>
    <w:rsid w:val="005A0C10"/>
    <w:rsid w:val="005A0F68"/>
    <w:rsid w:val="005A32B5"/>
    <w:rsid w:val="005A4DFA"/>
    <w:rsid w:val="005A4F4C"/>
    <w:rsid w:val="005A766E"/>
    <w:rsid w:val="005B07C8"/>
    <w:rsid w:val="005B15DD"/>
    <w:rsid w:val="005B1FA0"/>
    <w:rsid w:val="005B2796"/>
    <w:rsid w:val="005B2BC6"/>
    <w:rsid w:val="005B5266"/>
    <w:rsid w:val="005B6175"/>
    <w:rsid w:val="005B6EB7"/>
    <w:rsid w:val="005B7DE8"/>
    <w:rsid w:val="005C0D48"/>
    <w:rsid w:val="005C1437"/>
    <w:rsid w:val="005C4E2A"/>
    <w:rsid w:val="005C6150"/>
    <w:rsid w:val="005C65AB"/>
    <w:rsid w:val="005D1592"/>
    <w:rsid w:val="005D42BD"/>
    <w:rsid w:val="005D5390"/>
    <w:rsid w:val="005D720A"/>
    <w:rsid w:val="005E0882"/>
    <w:rsid w:val="005E1DD1"/>
    <w:rsid w:val="005E3A24"/>
    <w:rsid w:val="005E4A29"/>
    <w:rsid w:val="005E5F1B"/>
    <w:rsid w:val="005E640E"/>
    <w:rsid w:val="005E6741"/>
    <w:rsid w:val="005E6DE5"/>
    <w:rsid w:val="005F0C81"/>
    <w:rsid w:val="005F3D10"/>
    <w:rsid w:val="005F3EB0"/>
    <w:rsid w:val="005F3FBA"/>
    <w:rsid w:val="006017CA"/>
    <w:rsid w:val="00605E7F"/>
    <w:rsid w:val="0060788C"/>
    <w:rsid w:val="006109E5"/>
    <w:rsid w:val="006115E2"/>
    <w:rsid w:val="00611915"/>
    <w:rsid w:val="0061562D"/>
    <w:rsid w:val="00615E49"/>
    <w:rsid w:val="006168D1"/>
    <w:rsid w:val="00616EB6"/>
    <w:rsid w:val="00617365"/>
    <w:rsid w:val="00617A54"/>
    <w:rsid w:val="00622A93"/>
    <w:rsid w:val="0062536F"/>
    <w:rsid w:val="0062680A"/>
    <w:rsid w:val="00640460"/>
    <w:rsid w:val="00641320"/>
    <w:rsid w:val="00641A9F"/>
    <w:rsid w:val="0064470B"/>
    <w:rsid w:val="006460DF"/>
    <w:rsid w:val="006475E3"/>
    <w:rsid w:val="00647733"/>
    <w:rsid w:val="00647B16"/>
    <w:rsid w:val="00647C4D"/>
    <w:rsid w:val="0065310F"/>
    <w:rsid w:val="006552FC"/>
    <w:rsid w:val="00660890"/>
    <w:rsid w:val="006701D7"/>
    <w:rsid w:val="0067504F"/>
    <w:rsid w:val="0067711F"/>
    <w:rsid w:val="006817A5"/>
    <w:rsid w:val="006825C3"/>
    <w:rsid w:val="006844D6"/>
    <w:rsid w:val="006858D5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F5F"/>
    <w:rsid w:val="006C075C"/>
    <w:rsid w:val="006C4FCA"/>
    <w:rsid w:val="006C502E"/>
    <w:rsid w:val="006C5997"/>
    <w:rsid w:val="006C5B13"/>
    <w:rsid w:val="006C5D67"/>
    <w:rsid w:val="006C5F16"/>
    <w:rsid w:val="006C6008"/>
    <w:rsid w:val="006D0643"/>
    <w:rsid w:val="006D3FE2"/>
    <w:rsid w:val="006E023E"/>
    <w:rsid w:val="006E74AD"/>
    <w:rsid w:val="006F3A09"/>
    <w:rsid w:val="006F4D93"/>
    <w:rsid w:val="006F6DCE"/>
    <w:rsid w:val="006F7E12"/>
    <w:rsid w:val="00706E8C"/>
    <w:rsid w:val="00712663"/>
    <w:rsid w:val="00720F07"/>
    <w:rsid w:val="007251BC"/>
    <w:rsid w:val="00727F61"/>
    <w:rsid w:val="00731331"/>
    <w:rsid w:val="00732E7D"/>
    <w:rsid w:val="00742DF7"/>
    <w:rsid w:val="0075046F"/>
    <w:rsid w:val="00753AFF"/>
    <w:rsid w:val="0075454A"/>
    <w:rsid w:val="007559A3"/>
    <w:rsid w:val="00756FE6"/>
    <w:rsid w:val="007576CA"/>
    <w:rsid w:val="00760043"/>
    <w:rsid w:val="00760ADC"/>
    <w:rsid w:val="00763562"/>
    <w:rsid w:val="00771D83"/>
    <w:rsid w:val="00776828"/>
    <w:rsid w:val="00781ED2"/>
    <w:rsid w:val="00782B61"/>
    <w:rsid w:val="00783CE3"/>
    <w:rsid w:val="00784737"/>
    <w:rsid w:val="007860CF"/>
    <w:rsid w:val="007861BC"/>
    <w:rsid w:val="0078719E"/>
    <w:rsid w:val="007933FD"/>
    <w:rsid w:val="00796725"/>
    <w:rsid w:val="007A01B3"/>
    <w:rsid w:val="007A064A"/>
    <w:rsid w:val="007B44DC"/>
    <w:rsid w:val="007B50DC"/>
    <w:rsid w:val="007C13B1"/>
    <w:rsid w:val="007C201C"/>
    <w:rsid w:val="007C6BC1"/>
    <w:rsid w:val="007C7003"/>
    <w:rsid w:val="007D4B99"/>
    <w:rsid w:val="007D4E5E"/>
    <w:rsid w:val="007E3047"/>
    <w:rsid w:val="007E4BAB"/>
    <w:rsid w:val="007E6C2B"/>
    <w:rsid w:val="007F08CC"/>
    <w:rsid w:val="007F46F3"/>
    <w:rsid w:val="007F57CF"/>
    <w:rsid w:val="007F5A60"/>
    <w:rsid w:val="00802BAE"/>
    <w:rsid w:val="0080618D"/>
    <w:rsid w:val="008127E0"/>
    <w:rsid w:val="008145DA"/>
    <w:rsid w:val="00814814"/>
    <w:rsid w:val="0081640E"/>
    <w:rsid w:val="008207C0"/>
    <w:rsid w:val="00823181"/>
    <w:rsid w:val="00824C38"/>
    <w:rsid w:val="008270D4"/>
    <w:rsid w:val="008325CB"/>
    <w:rsid w:val="0083600E"/>
    <w:rsid w:val="00840206"/>
    <w:rsid w:val="00841488"/>
    <w:rsid w:val="00845DC8"/>
    <w:rsid w:val="00850158"/>
    <w:rsid w:val="0085068E"/>
    <w:rsid w:val="008507EB"/>
    <w:rsid w:val="0085649C"/>
    <w:rsid w:val="00856763"/>
    <w:rsid w:val="0086140F"/>
    <w:rsid w:val="008614CC"/>
    <w:rsid w:val="00864864"/>
    <w:rsid w:val="00871FFA"/>
    <w:rsid w:val="00874293"/>
    <w:rsid w:val="00875106"/>
    <w:rsid w:val="00876C25"/>
    <w:rsid w:val="00876F0F"/>
    <w:rsid w:val="008774A7"/>
    <w:rsid w:val="008802A5"/>
    <w:rsid w:val="00893036"/>
    <w:rsid w:val="008950FD"/>
    <w:rsid w:val="00896F72"/>
    <w:rsid w:val="008978D4"/>
    <w:rsid w:val="008978F5"/>
    <w:rsid w:val="008A4E1D"/>
    <w:rsid w:val="008A6FAE"/>
    <w:rsid w:val="008B226C"/>
    <w:rsid w:val="008B3AE5"/>
    <w:rsid w:val="008B59A1"/>
    <w:rsid w:val="008B68FF"/>
    <w:rsid w:val="008C035C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6FB"/>
    <w:rsid w:val="008F3947"/>
    <w:rsid w:val="008F525E"/>
    <w:rsid w:val="008F5FDF"/>
    <w:rsid w:val="00901021"/>
    <w:rsid w:val="009023A5"/>
    <w:rsid w:val="0090351D"/>
    <w:rsid w:val="009100B8"/>
    <w:rsid w:val="00911057"/>
    <w:rsid w:val="009121DB"/>
    <w:rsid w:val="009255C2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0344"/>
    <w:rsid w:val="009534A5"/>
    <w:rsid w:val="0095366A"/>
    <w:rsid w:val="00953CAF"/>
    <w:rsid w:val="00954F43"/>
    <w:rsid w:val="00955FE2"/>
    <w:rsid w:val="00957957"/>
    <w:rsid w:val="00960925"/>
    <w:rsid w:val="00966016"/>
    <w:rsid w:val="00966780"/>
    <w:rsid w:val="00967CCF"/>
    <w:rsid w:val="00970073"/>
    <w:rsid w:val="00973CE3"/>
    <w:rsid w:val="00984AAE"/>
    <w:rsid w:val="009905FC"/>
    <w:rsid w:val="00996DCB"/>
    <w:rsid w:val="009A3576"/>
    <w:rsid w:val="009A5742"/>
    <w:rsid w:val="009A62CC"/>
    <w:rsid w:val="009A67A0"/>
    <w:rsid w:val="009A6DAF"/>
    <w:rsid w:val="009B04A9"/>
    <w:rsid w:val="009B0967"/>
    <w:rsid w:val="009C5C2D"/>
    <w:rsid w:val="009C775E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5D7"/>
    <w:rsid w:val="00A25B4C"/>
    <w:rsid w:val="00A325D4"/>
    <w:rsid w:val="00A32E6B"/>
    <w:rsid w:val="00A3463A"/>
    <w:rsid w:val="00A408EC"/>
    <w:rsid w:val="00A416A3"/>
    <w:rsid w:val="00A4253C"/>
    <w:rsid w:val="00A46E08"/>
    <w:rsid w:val="00A50A76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21B9"/>
    <w:rsid w:val="00A82EB2"/>
    <w:rsid w:val="00A842D5"/>
    <w:rsid w:val="00A86270"/>
    <w:rsid w:val="00A87B2D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60E4"/>
    <w:rsid w:val="00AE747A"/>
    <w:rsid w:val="00AE7E7A"/>
    <w:rsid w:val="00AF4F2D"/>
    <w:rsid w:val="00AF56A4"/>
    <w:rsid w:val="00AF619D"/>
    <w:rsid w:val="00B0270F"/>
    <w:rsid w:val="00B02CA7"/>
    <w:rsid w:val="00B03766"/>
    <w:rsid w:val="00B04D09"/>
    <w:rsid w:val="00B05849"/>
    <w:rsid w:val="00B05B2C"/>
    <w:rsid w:val="00B0743E"/>
    <w:rsid w:val="00B07E7B"/>
    <w:rsid w:val="00B10776"/>
    <w:rsid w:val="00B124FA"/>
    <w:rsid w:val="00B13F1C"/>
    <w:rsid w:val="00B1583E"/>
    <w:rsid w:val="00B17303"/>
    <w:rsid w:val="00B20AFC"/>
    <w:rsid w:val="00B25159"/>
    <w:rsid w:val="00B30307"/>
    <w:rsid w:val="00B3437C"/>
    <w:rsid w:val="00B37ABC"/>
    <w:rsid w:val="00B37D4E"/>
    <w:rsid w:val="00B40C4B"/>
    <w:rsid w:val="00B42541"/>
    <w:rsid w:val="00B436FE"/>
    <w:rsid w:val="00B53008"/>
    <w:rsid w:val="00B54E71"/>
    <w:rsid w:val="00B561B5"/>
    <w:rsid w:val="00B708AF"/>
    <w:rsid w:val="00B71F22"/>
    <w:rsid w:val="00B7471A"/>
    <w:rsid w:val="00B7477C"/>
    <w:rsid w:val="00B7538D"/>
    <w:rsid w:val="00B80F2A"/>
    <w:rsid w:val="00B83A2A"/>
    <w:rsid w:val="00B83D07"/>
    <w:rsid w:val="00B91B4B"/>
    <w:rsid w:val="00BA33AF"/>
    <w:rsid w:val="00BA5F91"/>
    <w:rsid w:val="00BB2AE6"/>
    <w:rsid w:val="00BB395F"/>
    <w:rsid w:val="00BB4578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182E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23506"/>
    <w:rsid w:val="00C30275"/>
    <w:rsid w:val="00C30A77"/>
    <w:rsid w:val="00C31E39"/>
    <w:rsid w:val="00C33CEA"/>
    <w:rsid w:val="00C36260"/>
    <w:rsid w:val="00C41A7B"/>
    <w:rsid w:val="00C47499"/>
    <w:rsid w:val="00C514FF"/>
    <w:rsid w:val="00C5363F"/>
    <w:rsid w:val="00C54679"/>
    <w:rsid w:val="00C563CA"/>
    <w:rsid w:val="00C56465"/>
    <w:rsid w:val="00C61694"/>
    <w:rsid w:val="00C61807"/>
    <w:rsid w:val="00C642C2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3B3"/>
    <w:rsid w:val="00CB0947"/>
    <w:rsid w:val="00CB3680"/>
    <w:rsid w:val="00CC0617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7"/>
    <w:rsid w:val="00CD50B9"/>
    <w:rsid w:val="00CD51B9"/>
    <w:rsid w:val="00CE655A"/>
    <w:rsid w:val="00D01A6E"/>
    <w:rsid w:val="00D04B04"/>
    <w:rsid w:val="00D076A7"/>
    <w:rsid w:val="00D11B10"/>
    <w:rsid w:val="00D11D66"/>
    <w:rsid w:val="00D15C34"/>
    <w:rsid w:val="00D27D63"/>
    <w:rsid w:val="00D32823"/>
    <w:rsid w:val="00D3315A"/>
    <w:rsid w:val="00D34024"/>
    <w:rsid w:val="00D35D53"/>
    <w:rsid w:val="00D37602"/>
    <w:rsid w:val="00D409DD"/>
    <w:rsid w:val="00D5103F"/>
    <w:rsid w:val="00D52B35"/>
    <w:rsid w:val="00D54FA2"/>
    <w:rsid w:val="00D55926"/>
    <w:rsid w:val="00D56EE6"/>
    <w:rsid w:val="00D57E20"/>
    <w:rsid w:val="00D630C3"/>
    <w:rsid w:val="00D63B7C"/>
    <w:rsid w:val="00D66486"/>
    <w:rsid w:val="00D73296"/>
    <w:rsid w:val="00D76BD4"/>
    <w:rsid w:val="00D80829"/>
    <w:rsid w:val="00D80C1F"/>
    <w:rsid w:val="00D80FBE"/>
    <w:rsid w:val="00D816B6"/>
    <w:rsid w:val="00D82574"/>
    <w:rsid w:val="00D8429F"/>
    <w:rsid w:val="00D90260"/>
    <w:rsid w:val="00D96A92"/>
    <w:rsid w:val="00DA0516"/>
    <w:rsid w:val="00DA0624"/>
    <w:rsid w:val="00DA0A8A"/>
    <w:rsid w:val="00DA2BA3"/>
    <w:rsid w:val="00DA402A"/>
    <w:rsid w:val="00DA7DB5"/>
    <w:rsid w:val="00DB7AD7"/>
    <w:rsid w:val="00DC1B9C"/>
    <w:rsid w:val="00DC4B3E"/>
    <w:rsid w:val="00DC5A93"/>
    <w:rsid w:val="00DC6805"/>
    <w:rsid w:val="00DD4CC6"/>
    <w:rsid w:val="00DD7C6B"/>
    <w:rsid w:val="00DE60D6"/>
    <w:rsid w:val="00DF19A5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ADB"/>
    <w:rsid w:val="00E52F85"/>
    <w:rsid w:val="00E60B94"/>
    <w:rsid w:val="00E63A01"/>
    <w:rsid w:val="00E67FE9"/>
    <w:rsid w:val="00E769CC"/>
    <w:rsid w:val="00E76E32"/>
    <w:rsid w:val="00E7700A"/>
    <w:rsid w:val="00E869AE"/>
    <w:rsid w:val="00E87793"/>
    <w:rsid w:val="00E87BAB"/>
    <w:rsid w:val="00E91EC9"/>
    <w:rsid w:val="00E92259"/>
    <w:rsid w:val="00E923BD"/>
    <w:rsid w:val="00E93E3F"/>
    <w:rsid w:val="00E942DD"/>
    <w:rsid w:val="00EA0139"/>
    <w:rsid w:val="00EA2E80"/>
    <w:rsid w:val="00EA2EB7"/>
    <w:rsid w:val="00EA76A9"/>
    <w:rsid w:val="00EA79C6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5A5D"/>
    <w:rsid w:val="00F17200"/>
    <w:rsid w:val="00F1730C"/>
    <w:rsid w:val="00F240C4"/>
    <w:rsid w:val="00F278AB"/>
    <w:rsid w:val="00F300D5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72F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7CE"/>
    <w:rsid w:val="00FC7E78"/>
    <w:rsid w:val="00FD02DF"/>
    <w:rsid w:val="00FD265D"/>
    <w:rsid w:val="00FD38B8"/>
    <w:rsid w:val="00FD5281"/>
    <w:rsid w:val="00FD59A9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EE30D4-16E6-44E0-AD17-53FF091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619A7-A75D-4C8F-B255-5C86E2A6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2018-10-26T16:05:00Z</cp:lastPrinted>
  <dcterms:created xsi:type="dcterms:W3CDTF">2019-09-11T16:56:00Z</dcterms:created>
  <dcterms:modified xsi:type="dcterms:W3CDTF">2019-09-23T14:56:00Z</dcterms:modified>
</cp:coreProperties>
</file>