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B34633" w:rsidRDefault="00A512C7" w:rsidP="00535617">
      <w:pPr>
        <w:jc w:val="center"/>
      </w:pPr>
      <w:r>
        <w:t>MATR</w:t>
      </w:r>
      <w:r w:rsidR="002B1108">
        <w:t>I</w:t>
      </w:r>
      <w:r>
        <w:t xml:space="preserve">Z DE </w:t>
      </w:r>
      <w:r w:rsidRPr="00B34633">
        <w:t xml:space="preserve">INDICADORES </w:t>
      </w:r>
      <w:r w:rsidR="0087133B" w:rsidRPr="00B34633">
        <w:t>201</w:t>
      </w:r>
      <w:r w:rsidR="00920A05" w:rsidRPr="00B34633">
        <w:t>9</w:t>
      </w:r>
    </w:p>
    <w:p w:rsidR="00B0743E" w:rsidRPr="00B34633" w:rsidRDefault="00A512C7" w:rsidP="00A512C7">
      <w:pPr>
        <w:jc w:val="center"/>
      </w:pPr>
      <w:r w:rsidRPr="00B34633">
        <w:t xml:space="preserve">DEL PROGRAMA </w:t>
      </w:r>
      <w:r w:rsidR="0005219A" w:rsidRPr="00B34633">
        <w:t>E023 “</w:t>
      </w:r>
      <w:r w:rsidR="00C76A0D" w:rsidRPr="00B34633">
        <w:t xml:space="preserve">ATENCIÓN </w:t>
      </w:r>
      <w:r w:rsidR="0005219A" w:rsidRPr="00B34633">
        <w:t>A LA SALUD”</w:t>
      </w:r>
    </w:p>
    <w:p w:rsidR="00A512C7" w:rsidRPr="009B3D61" w:rsidRDefault="00A512C7" w:rsidP="00A512C7">
      <w:pPr>
        <w:jc w:val="center"/>
        <w:rPr>
          <w:b/>
        </w:rPr>
      </w:pPr>
      <w:r w:rsidRPr="00B34633">
        <w:t>FICHA TÉCNICA</w:t>
      </w:r>
      <w:r w:rsidR="002F2579" w:rsidRPr="00B34633">
        <w:t xml:space="preserve"> </w:t>
      </w:r>
      <w:r w:rsidR="00927C69" w:rsidRPr="009B3D61">
        <w:rPr>
          <w:highlight w:val="yellow"/>
        </w:rPr>
        <w:t xml:space="preserve">NOVIEMBRE </w:t>
      </w:r>
      <w:r w:rsidR="00CC3EFF" w:rsidRPr="009B3D61">
        <w:rPr>
          <w:highlight w:val="yellow"/>
        </w:rPr>
        <w:t>1</w:t>
      </w:r>
      <w:r w:rsidR="004A66B4" w:rsidRPr="009B3D61">
        <w:rPr>
          <w:highlight w:val="yellow"/>
        </w:rPr>
        <w:t>5</w:t>
      </w:r>
      <w:r w:rsidR="00920A05" w:rsidRPr="009B3D61">
        <w:rPr>
          <w:highlight w:val="yellow"/>
        </w:rPr>
        <w:t xml:space="preserve"> 2018</w:t>
      </w:r>
      <w:r w:rsidR="00CC3EFF" w:rsidRPr="009B3D61">
        <w:rPr>
          <w:highlight w:val="yellow"/>
        </w:rPr>
        <w:t xml:space="preserve"> FINAL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29"/>
      </w:tblGrid>
      <w:tr w:rsidR="00535617" w:rsidRPr="000A24E1" w:rsidTr="00352D54">
        <w:tc>
          <w:tcPr>
            <w:tcW w:w="10235" w:type="dxa"/>
            <w:gridSpan w:val="25"/>
            <w:tcBorders>
              <w:bottom w:val="single" w:sz="4" w:space="0" w:color="auto"/>
            </w:tcBorders>
            <w:shd w:val="clear" w:color="auto" w:fill="000080"/>
          </w:tcPr>
          <w:p w:rsidR="001C0955" w:rsidRDefault="00A85C63" w:rsidP="001C095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Eficacia en el otorgamiento de consulta programada</w:t>
            </w:r>
          </w:p>
          <w:p w:rsidR="00535617" w:rsidRPr="001C394E" w:rsidRDefault="00A85C63" w:rsidP="001C095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8910F6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C0041D">
              <w:rPr>
                <w:rFonts w:ascii="Arial" w:hAnsi="Arial" w:cs="Arial"/>
                <w:b/>
                <w:bCs/>
                <w:sz w:val="20"/>
                <w:szCs w:val="20"/>
              </w:rPr>
              <w:t>rimera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vez, subsecuente</w:t>
            </w:r>
            <w:r w:rsidR="001C0955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1C09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preconsulta</w:t>
            </w:r>
            <w:proofErr w:type="spellEnd"/>
            <w:r w:rsidR="004436F5">
              <w:rPr>
                <w:rFonts w:ascii="Arial" w:hAnsi="Arial" w:cs="Arial"/>
                <w:b/>
                <w:bCs/>
                <w:sz w:val="20"/>
                <w:szCs w:val="20"/>
              </w:rPr>
              <w:t>, urgencias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8325CB" w:rsidRPr="006962E7" w:rsidTr="00352D54">
        <w:tc>
          <w:tcPr>
            <w:tcW w:w="10235" w:type="dxa"/>
            <w:gridSpan w:val="25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352D54">
        <w:tc>
          <w:tcPr>
            <w:tcW w:w="2689" w:type="dxa"/>
            <w:gridSpan w:val="5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352D54">
        <w:tc>
          <w:tcPr>
            <w:tcW w:w="10235" w:type="dxa"/>
            <w:gridSpan w:val="25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352D54">
        <w:tc>
          <w:tcPr>
            <w:tcW w:w="4395" w:type="dxa"/>
            <w:gridSpan w:val="10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840" w:type="dxa"/>
            <w:gridSpan w:val="15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352D54">
        <w:tc>
          <w:tcPr>
            <w:tcW w:w="10235" w:type="dxa"/>
            <w:gridSpan w:val="25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C15AEC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352D54">
        <w:tc>
          <w:tcPr>
            <w:tcW w:w="10235" w:type="dxa"/>
            <w:gridSpan w:val="25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352D54">
        <w:tc>
          <w:tcPr>
            <w:tcW w:w="10235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C76A0D" w:rsidRDefault="00980247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2F2579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Atención ambulatoria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especializada otorgada</w:t>
            </w:r>
          </w:p>
          <w:p w:rsidR="00E23603" w:rsidRPr="000A24E1" w:rsidRDefault="00980247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Tr="00352D54">
        <w:tc>
          <w:tcPr>
            <w:tcW w:w="10235" w:type="dxa"/>
            <w:gridSpan w:val="25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352D54">
        <w:tc>
          <w:tcPr>
            <w:tcW w:w="4489" w:type="dxa"/>
            <w:gridSpan w:val="11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AE6D9B" w:rsidP="00AE6D9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1.4</w:t>
            </w:r>
          </w:p>
        </w:tc>
      </w:tr>
      <w:tr w:rsidR="00647733" w:rsidTr="00352D54">
        <w:tc>
          <w:tcPr>
            <w:tcW w:w="4489" w:type="dxa"/>
            <w:gridSpan w:val="11"/>
            <w:shd w:val="clear" w:color="auto" w:fill="auto"/>
          </w:tcPr>
          <w:p w:rsidR="0087133B" w:rsidRDefault="0087133B" w:rsidP="00B74A5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91F47" w:rsidRDefault="00052C77" w:rsidP="004D696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591F47">
              <w:rPr>
                <w:rFonts w:ascii="Arial" w:hAnsi="Arial" w:cs="Arial"/>
                <w:bCs/>
                <w:sz w:val="20"/>
                <w:szCs w:val="20"/>
              </w:rPr>
              <w:t xml:space="preserve">Eficacia en el otorgamiento de consulta </w:t>
            </w:r>
          </w:p>
          <w:p w:rsidR="00D36B32" w:rsidRDefault="00052C77" w:rsidP="004D696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591F47">
              <w:rPr>
                <w:rFonts w:ascii="Arial" w:hAnsi="Arial" w:cs="Arial"/>
                <w:bCs/>
                <w:sz w:val="20"/>
                <w:szCs w:val="20"/>
              </w:rPr>
              <w:t>programada (</w:t>
            </w:r>
            <w:r w:rsidR="008910F6" w:rsidRPr="00591F4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C0041D" w:rsidRPr="00591F47">
              <w:rPr>
                <w:rFonts w:ascii="Arial" w:hAnsi="Arial" w:cs="Arial"/>
                <w:bCs/>
                <w:sz w:val="20"/>
                <w:szCs w:val="20"/>
              </w:rPr>
              <w:t>rimera</w:t>
            </w:r>
            <w:r w:rsidRPr="00591F47">
              <w:rPr>
                <w:rFonts w:ascii="Arial" w:hAnsi="Arial" w:cs="Arial"/>
                <w:bCs/>
                <w:sz w:val="20"/>
                <w:szCs w:val="20"/>
              </w:rPr>
              <w:t xml:space="preserve"> vez, subsecuente</w:t>
            </w:r>
            <w:r w:rsidR="002F2579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591F47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DC31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87133B" w:rsidRPr="00591F47" w:rsidRDefault="00052C77" w:rsidP="004D696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591F47"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proofErr w:type="spellEnd"/>
            <w:r w:rsidR="004436F5">
              <w:rPr>
                <w:rFonts w:ascii="Arial" w:hAnsi="Arial" w:cs="Arial"/>
                <w:bCs/>
                <w:sz w:val="20"/>
                <w:szCs w:val="20"/>
              </w:rPr>
              <w:t>, urgencias</w:t>
            </w:r>
            <w:r w:rsidRPr="00591F47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7576DA" w:rsidRPr="00591F4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52C77" w:rsidRPr="00821921" w:rsidRDefault="00052C77" w:rsidP="004D696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7733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337D2C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  <w:p w:rsidR="006550D1" w:rsidRPr="000A24E1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7DF3" w:rsidTr="00352D54">
        <w:tc>
          <w:tcPr>
            <w:tcW w:w="4489" w:type="dxa"/>
            <w:gridSpan w:val="11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Default="0087133B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4722D" w:rsidRDefault="007576DA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Eficacia</w:t>
            </w:r>
          </w:p>
          <w:p w:rsidR="00507DF3" w:rsidRPr="000A24E1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C6180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87133B" w:rsidRDefault="0087133B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D204E1" w:rsidRDefault="00AC5D9D" w:rsidP="00FE66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5D9D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F7772A">
              <w:rPr>
                <w:rFonts w:ascii="Arial" w:hAnsi="Arial" w:cs="Arial"/>
                <w:sz w:val="20"/>
                <w:szCs w:val="20"/>
              </w:rPr>
              <w:t xml:space="preserve">evaluación de </w:t>
            </w:r>
            <w:r w:rsidR="0005219A">
              <w:rPr>
                <w:rFonts w:ascii="Arial" w:hAnsi="Arial" w:cs="Arial"/>
                <w:sz w:val="20"/>
                <w:szCs w:val="20"/>
              </w:rPr>
              <w:t>la eficacia</w:t>
            </w:r>
            <w:r w:rsidR="00F7772A">
              <w:rPr>
                <w:rFonts w:ascii="Arial" w:hAnsi="Arial" w:cs="Arial"/>
                <w:sz w:val="20"/>
                <w:szCs w:val="20"/>
              </w:rPr>
              <w:t xml:space="preserve"> en el otorgamiento de la consu</w:t>
            </w:r>
            <w:r w:rsidR="00F7772A" w:rsidRPr="00AC5D9D">
              <w:rPr>
                <w:rFonts w:ascii="Arial" w:hAnsi="Arial" w:cs="Arial"/>
                <w:sz w:val="20"/>
                <w:szCs w:val="20"/>
              </w:rPr>
              <w:t xml:space="preserve">lta </w:t>
            </w:r>
            <w:r w:rsidR="00F7772A">
              <w:rPr>
                <w:rFonts w:ascii="Arial" w:hAnsi="Arial" w:cs="Arial"/>
                <w:sz w:val="20"/>
                <w:szCs w:val="20"/>
              </w:rPr>
              <w:t xml:space="preserve">muestra </w:t>
            </w:r>
            <w:r w:rsidR="005816C0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F7772A">
              <w:rPr>
                <w:rFonts w:ascii="Arial" w:hAnsi="Arial" w:cs="Arial"/>
                <w:sz w:val="20"/>
                <w:szCs w:val="20"/>
              </w:rPr>
              <w:t xml:space="preserve">uso </w:t>
            </w:r>
            <w:r w:rsidR="005816C0">
              <w:rPr>
                <w:rFonts w:ascii="Arial" w:hAnsi="Arial" w:cs="Arial"/>
                <w:sz w:val="20"/>
                <w:szCs w:val="20"/>
              </w:rPr>
              <w:t>eficaz</w:t>
            </w:r>
            <w:r w:rsidR="00F7772A">
              <w:rPr>
                <w:rFonts w:ascii="Arial" w:hAnsi="Arial" w:cs="Arial"/>
                <w:sz w:val="20"/>
                <w:szCs w:val="20"/>
              </w:rPr>
              <w:t xml:space="preserve"> de los recursos institucionales de acuerdo a la planeación estratégica y operativa de la entidad.</w:t>
            </w:r>
          </w:p>
          <w:p w:rsidR="00AC5D9D" w:rsidRDefault="00AC5D9D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FE66FD" w:rsidRPr="00551C99" w:rsidRDefault="00FE66FD" w:rsidP="00272E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352D54">
        <w:tc>
          <w:tcPr>
            <w:tcW w:w="44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36F5" w:rsidRDefault="00E0487F" w:rsidP="008B163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E0487F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591F47">
              <w:rPr>
                <w:rFonts w:ascii="Arial" w:hAnsi="Arial" w:cs="Arial"/>
                <w:bCs/>
                <w:sz w:val="20"/>
                <w:szCs w:val="20"/>
              </w:rPr>
              <w:t xml:space="preserve">úmero </w:t>
            </w:r>
            <w:r w:rsidRPr="00E0487F">
              <w:rPr>
                <w:rFonts w:ascii="Arial" w:hAnsi="Arial" w:cs="Arial"/>
                <w:bCs/>
                <w:sz w:val="20"/>
                <w:szCs w:val="20"/>
              </w:rPr>
              <w:t xml:space="preserve">de consultas realizadas </w:t>
            </w:r>
            <w:r w:rsidR="00591F47" w:rsidRPr="00591F47">
              <w:rPr>
                <w:rFonts w:ascii="Arial" w:hAnsi="Arial" w:cs="Arial"/>
                <w:bCs/>
                <w:sz w:val="20"/>
                <w:szCs w:val="20"/>
              </w:rPr>
              <w:t>(primera vez, subsecuente</w:t>
            </w:r>
            <w:r w:rsidR="002F2579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591F47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591F47" w:rsidRPr="00591F4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591F47" w:rsidRPr="00591F47"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proofErr w:type="spellEnd"/>
            <w:r w:rsidR="004436F5">
              <w:rPr>
                <w:rFonts w:ascii="Arial" w:hAnsi="Arial" w:cs="Arial"/>
                <w:bCs/>
                <w:sz w:val="20"/>
                <w:szCs w:val="20"/>
              </w:rPr>
              <w:t>, urgencias</w:t>
            </w:r>
            <w:r w:rsidR="00591F47" w:rsidRPr="00591F47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Pr="00E0487F">
              <w:rPr>
                <w:rFonts w:ascii="Arial" w:hAnsi="Arial" w:cs="Arial"/>
                <w:bCs/>
                <w:sz w:val="20"/>
                <w:szCs w:val="20"/>
              </w:rPr>
              <w:t>/ N</w:t>
            </w:r>
            <w:r w:rsidR="00591F47">
              <w:rPr>
                <w:rFonts w:ascii="Arial" w:hAnsi="Arial" w:cs="Arial"/>
                <w:bCs/>
                <w:sz w:val="20"/>
                <w:szCs w:val="20"/>
              </w:rPr>
              <w:t>úmero</w:t>
            </w:r>
          </w:p>
          <w:p w:rsidR="00F45BB4" w:rsidRDefault="004436F5" w:rsidP="008B163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E0487F" w:rsidRPr="00E0487F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0487F" w:rsidRPr="00E0487F">
              <w:rPr>
                <w:rFonts w:ascii="Arial" w:hAnsi="Arial" w:cs="Arial"/>
                <w:bCs/>
                <w:sz w:val="20"/>
                <w:szCs w:val="20"/>
              </w:rPr>
              <w:t xml:space="preserve">consultas </w:t>
            </w:r>
            <w:r w:rsidR="00591F47">
              <w:rPr>
                <w:rFonts w:ascii="Arial" w:hAnsi="Arial" w:cs="Arial"/>
                <w:bCs/>
                <w:sz w:val="20"/>
                <w:szCs w:val="20"/>
              </w:rPr>
              <w:t>programadas</w:t>
            </w:r>
            <w:r w:rsidR="000C50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C5038" w:rsidRPr="00591F47">
              <w:rPr>
                <w:rFonts w:ascii="Arial" w:hAnsi="Arial" w:cs="Arial"/>
                <w:bCs/>
                <w:sz w:val="20"/>
                <w:szCs w:val="20"/>
              </w:rPr>
              <w:t xml:space="preserve">(primera vez, </w:t>
            </w:r>
          </w:p>
          <w:p w:rsidR="00653F03" w:rsidRDefault="000C5038" w:rsidP="008B163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591F47">
              <w:rPr>
                <w:rFonts w:ascii="Arial" w:hAnsi="Arial" w:cs="Arial"/>
                <w:bCs/>
                <w:sz w:val="20"/>
                <w:szCs w:val="20"/>
              </w:rPr>
              <w:t>subsecuente</w:t>
            </w:r>
            <w:r w:rsidR="002F2579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591F4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591F47"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proofErr w:type="spellEnd"/>
            <w:r w:rsidR="004436F5">
              <w:rPr>
                <w:rFonts w:ascii="Arial" w:hAnsi="Arial" w:cs="Arial"/>
                <w:bCs/>
                <w:sz w:val="20"/>
                <w:szCs w:val="20"/>
              </w:rPr>
              <w:t>, urgencias</w:t>
            </w:r>
            <w:r w:rsidRPr="00591F47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0487F">
              <w:rPr>
                <w:rFonts w:ascii="Arial" w:hAnsi="Arial" w:cs="Arial"/>
                <w:bCs/>
                <w:sz w:val="20"/>
                <w:szCs w:val="20"/>
              </w:rPr>
              <w:t>x 100</w:t>
            </w:r>
          </w:p>
          <w:p w:rsidR="00FE66FD" w:rsidRDefault="00FE66FD" w:rsidP="008B163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B146A" w:rsidRPr="00B82EDE" w:rsidRDefault="00FB146A" w:rsidP="00591F47">
            <w:pPr>
              <w:ind w:left="-59" w:right="-46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Default="00507DF3" w:rsidP="00D901A0">
            <w:pPr>
              <w:rPr>
                <w:rFonts w:ascii="Arial" w:hAnsi="Arial" w:cs="Arial"/>
                <w:sz w:val="20"/>
                <w:szCs w:val="20"/>
              </w:rPr>
            </w:pPr>
          </w:p>
          <w:p w:rsidR="001B3846" w:rsidRPr="00814814" w:rsidRDefault="001B3846" w:rsidP="000321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2185">
              <w:rPr>
                <w:rFonts w:ascii="Arial" w:hAnsi="Arial" w:cs="Arial"/>
                <w:sz w:val="20"/>
                <w:szCs w:val="20"/>
              </w:rPr>
              <w:t>orcentaje</w:t>
            </w:r>
          </w:p>
        </w:tc>
      </w:tr>
      <w:tr w:rsidR="00647733" w:rsidTr="00352D54">
        <w:tc>
          <w:tcPr>
            <w:tcW w:w="44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352D54">
        <w:tc>
          <w:tcPr>
            <w:tcW w:w="44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2B4A" w:rsidRPr="00032B4A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Tr="00352D54">
        <w:tc>
          <w:tcPr>
            <w:tcW w:w="10235" w:type="dxa"/>
            <w:gridSpan w:val="25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352D54">
        <w:tc>
          <w:tcPr>
            <w:tcW w:w="1069" w:type="dxa"/>
            <w:gridSpan w:val="2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352D54">
        <w:tc>
          <w:tcPr>
            <w:tcW w:w="1069" w:type="dxa"/>
            <w:gridSpan w:val="2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7028B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07028B" w:rsidRDefault="002C7412" w:rsidP="00B30A4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r w:rsidR="00B30A45">
              <w:rPr>
                <w:rFonts w:ascii="Arial" w:hAnsi="Arial" w:cs="Arial"/>
                <w:bCs/>
                <w:sz w:val="20"/>
                <w:szCs w:val="20"/>
              </w:rPr>
              <w:t>No</w:t>
            </w:r>
          </w:p>
        </w:tc>
      </w:tr>
      <w:tr w:rsidR="00171537" w:rsidTr="00352D54">
        <w:tc>
          <w:tcPr>
            <w:tcW w:w="10235" w:type="dxa"/>
            <w:gridSpan w:val="25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Default="00AE132E" w:rsidP="007576D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576DA">
              <w:rPr>
                <w:rFonts w:ascii="Arial" w:hAnsi="Arial" w:cs="Arial"/>
                <w:bCs/>
                <w:sz w:val="18"/>
                <w:szCs w:val="18"/>
              </w:rPr>
              <w:t xml:space="preserve">Contribuye a </w:t>
            </w:r>
            <w:r w:rsidR="00B30A45">
              <w:rPr>
                <w:rFonts w:ascii="Arial" w:hAnsi="Arial" w:cs="Arial"/>
                <w:bCs/>
                <w:sz w:val="18"/>
                <w:szCs w:val="18"/>
              </w:rPr>
              <w:t>valorar el uso eficaz de los recursos institucionales de acuerdo a su planeación operativa</w:t>
            </w:r>
            <w:r w:rsidR="0005219A">
              <w:rPr>
                <w:rFonts w:ascii="Arial" w:hAnsi="Arial" w:cs="Arial"/>
                <w:bCs/>
                <w:sz w:val="18"/>
                <w:szCs w:val="18"/>
              </w:rPr>
              <w:t xml:space="preserve"> institucional</w:t>
            </w: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A1D96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="00BA1D96" w:rsidRPr="00D73FEB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</w:t>
            </w:r>
            <w:r w:rsidR="00BA1D96">
              <w:rPr>
                <w:rFonts w:ascii="Arial" w:hAnsi="Arial" w:cs="Arial"/>
                <w:bCs/>
                <w:sz w:val="18"/>
                <w:szCs w:val="18"/>
              </w:rPr>
              <w:t xml:space="preserve"> institucionales</w:t>
            </w:r>
            <w:r w:rsidR="00BA1D96"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BA1D96" w:rsidRPr="005B6EB7" w:rsidRDefault="00BA1D96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132E" w:rsidRPr="00D73FEB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30A45">
              <w:rPr>
                <w:rFonts w:ascii="Arial" w:hAnsi="Arial" w:cs="Arial"/>
                <w:bCs/>
                <w:sz w:val="18"/>
                <w:szCs w:val="18"/>
              </w:rPr>
              <w:t>No</w:t>
            </w:r>
          </w:p>
          <w:p w:rsidR="00CD1261" w:rsidRPr="000A24E1" w:rsidRDefault="00CD1261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352D54">
        <w:tc>
          <w:tcPr>
            <w:tcW w:w="10235" w:type="dxa"/>
            <w:gridSpan w:val="25"/>
            <w:shd w:val="clear" w:color="auto" w:fill="auto"/>
          </w:tcPr>
          <w:p w:rsidR="005E6741" w:rsidRPr="000A24E1" w:rsidRDefault="00AA719A" w:rsidP="00D145E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disponible:</w:t>
            </w:r>
            <w:r w:rsidR="000F32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533D2" w:rsidRPr="00706E45">
              <w:rPr>
                <w:rFonts w:ascii="Arial" w:hAnsi="Arial" w:cs="Arial"/>
                <w:bCs/>
                <w:sz w:val="20"/>
                <w:szCs w:val="20"/>
              </w:rPr>
              <w:t>2018</w:t>
            </w:r>
          </w:p>
        </w:tc>
      </w:tr>
      <w:tr w:rsidR="00AA719A" w:rsidTr="00352D54">
        <w:tc>
          <w:tcPr>
            <w:tcW w:w="10235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E4854" w:rsidRDefault="00AA719A" w:rsidP="000C503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51B9" w:rsidRPr="005B6EB7">
              <w:rPr>
                <w:rFonts w:ascii="Arial" w:hAnsi="Arial" w:cs="Arial"/>
                <w:bCs/>
                <w:sz w:val="20"/>
                <w:szCs w:val="20"/>
              </w:rPr>
              <w:t>CCINSHAE</w:t>
            </w:r>
            <w:r w:rsidR="003D4E64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776C7B">
              <w:rPr>
                <w:rFonts w:ascii="Arial" w:hAnsi="Arial" w:cs="Arial"/>
                <w:bCs/>
                <w:sz w:val="20"/>
                <w:szCs w:val="20"/>
              </w:rPr>
              <w:t>entidades ejecutoras del programa</w:t>
            </w:r>
          </w:p>
          <w:p w:rsidR="00FE66FD" w:rsidRPr="000A24E1" w:rsidRDefault="00FE66FD" w:rsidP="000C503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2663" w:rsidTr="00352D54">
        <w:tc>
          <w:tcPr>
            <w:tcW w:w="10235" w:type="dxa"/>
            <w:gridSpan w:val="25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352D54">
        <w:trPr>
          <w:trHeight w:val="274"/>
        </w:trPr>
        <w:tc>
          <w:tcPr>
            <w:tcW w:w="4537" w:type="dxa"/>
            <w:gridSpan w:val="12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352D54">
        <w:trPr>
          <w:trHeight w:val="274"/>
        </w:trPr>
        <w:tc>
          <w:tcPr>
            <w:tcW w:w="851" w:type="dxa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02248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FE4" w:rsidTr="00352D54">
        <w:trPr>
          <w:trHeight w:val="274"/>
        </w:trPr>
        <w:tc>
          <w:tcPr>
            <w:tcW w:w="851" w:type="dxa"/>
            <w:shd w:val="clear" w:color="auto" w:fill="auto"/>
            <w:vAlign w:val="center"/>
          </w:tcPr>
          <w:p w:rsidR="00013FE4" w:rsidRPr="005F4FC2" w:rsidRDefault="00513C43" w:rsidP="009C74C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5F4FC2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9C74C9" w:rsidRPr="005F4FC2">
              <w:rPr>
                <w:rFonts w:ascii="Arial" w:hAnsi="Arial" w:cs="Arial"/>
                <w:bCs/>
                <w:sz w:val="20"/>
                <w:szCs w:val="20"/>
              </w:rPr>
              <w:t>6.0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5F4FC2" w:rsidRDefault="007258A5" w:rsidP="00EC457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F4FC2">
              <w:rPr>
                <w:rFonts w:ascii="Arial" w:hAnsi="Arial" w:cs="Arial"/>
                <w:bCs/>
                <w:sz w:val="20"/>
                <w:szCs w:val="20"/>
              </w:rPr>
              <w:t xml:space="preserve">    201</w:t>
            </w:r>
            <w:r w:rsidR="00EC4571" w:rsidRPr="005F4FC2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5B6EB7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9E1033" w:rsidRPr="005B6EB7" w:rsidRDefault="005A7306" w:rsidP="009E103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235966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235966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235966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235966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352D54">
        <w:trPr>
          <w:trHeight w:val="274"/>
        </w:trPr>
        <w:tc>
          <w:tcPr>
            <w:tcW w:w="4537" w:type="dxa"/>
            <w:gridSpan w:val="12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352D54">
        <w:trPr>
          <w:trHeight w:val="274"/>
        </w:trPr>
        <w:tc>
          <w:tcPr>
            <w:tcW w:w="4537" w:type="dxa"/>
            <w:gridSpan w:val="12"/>
            <w:shd w:val="clear" w:color="auto" w:fill="auto"/>
          </w:tcPr>
          <w:p w:rsidR="00D5103F" w:rsidRPr="005B6EB7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7258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Tr="00352D54">
        <w:trPr>
          <w:trHeight w:val="274"/>
        </w:trPr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5E5760" w:rsidRDefault="005E5760" w:rsidP="00BB03A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5E5760" w:rsidRDefault="007258A5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5E5760" w:rsidRDefault="007258A5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proofErr w:type="spellStart"/>
            <w:r w:rsidR="005E5760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5B6EB7" w:rsidRDefault="007258A5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1D73C0" w:rsidTr="00352D54">
        <w:trPr>
          <w:trHeight w:val="274"/>
        </w:trPr>
        <w:tc>
          <w:tcPr>
            <w:tcW w:w="10235" w:type="dxa"/>
            <w:gridSpan w:val="25"/>
            <w:tcBorders>
              <w:bottom w:val="single" w:sz="4" w:space="0" w:color="auto"/>
            </w:tcBorders>
            <w:shd w:val="clear" w:color="auto" w:fill="FFCC99"/>
          </w:tcPr>
          <w:p w:rsidR="001D73C0" w:rsidRPr="000A24E1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Tr="00352D54">
        <w:trPr>
          <w:trHeight w:val="274"/>
        </w:trPr>
        <w:tc>
          <w:tcPr>
            <w:tcW w:w="10235" w:type="dxa"/>
            <w:gridSpan w:val="25"/>
            <w:shd w:val="clear" w:color="auto" w:fill="auto"/>
          </w:tcPr>
          <w:p w:rsidR="00C00F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 w:rsidR="00E923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Tr="00352D54">
        <w:trPr>
          <w:trHeight w:val="148"/>
        </w:trPr>
        <w:tc>
          <w:tcPr>
            <w:tcW w:w="5209" w:type="dxa"/>
            <w:gridSpan w:val="16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Tr="00352D54">
        <w:trPr>
          <w:trHeight w:val="483"/>
        </w:trPr>
        <w:tc>
          <w:tcPr>
            <w:tcW w:w="5209" w:type="dxa"/>
            <w:gridSpan w:val="16"/>
            <w:shd w:val="clear" w:color="auto" w:fill="auto"/>
          </w:tcPr>
          <w:p w:rsidR="00C563CA" w:rsidRPr="005B6E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D623E4" w:rsidRDefault="00F21C1B" w:rsidP="00F21C1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E0487F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úmero </w:t>
            </w:r>
            <w:r w:rsidRPr="00E0487F">
              <w:rPr>
                <w:rFonts w:ascii="Arial" w:hAnsi="Arial" w:cs="Arial"/>
                <w:bCs/>
                <w:sz w:val="20"/>
                <w:szCs w:val="20"/>
              </w:rPr>
              <w:t xml:space="preserve">de consultas realizadas </w:t>
            </w:r>
            <w:r w:rsidRPr="00591F47">
              <w:rPr>
                <w:rFonts w:ascii="Arial" w:hAnsi="Arial" w:cs="Arial"/>
                <w:bCs/>
                <w:sz w:val="20"/>
                <w:szCs w:val="20"/>
              </w:rPr>
              <w:t xml:space="preserve">(primera vez, </w:t>
            </w:r>
          </w:p>
          <w:p w:rsidR="003E4854" w:rsidRDefault="00F21C1B" w:rsidP="00F21C1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591F47">
              <w:rPr>
                <w:rFonts w:ascii="Arial" w:hAnsi="Arial" w:cs="Arial"/>
                <w:bCs/>
                <w:sz w:val="20"/>
                <w:szCs w:val="20"/>
              </w:rPr>
              <w:t>subsecuente</w:t>
            </w:r>
            <w:r w:rsidR="002F2579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591F4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591F47"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proofErr w:type="spellEnd"/>
            <w:r w:rsidR="00016394">
              <w:rPr>
                <w:rFonts w:ascii="Arial" w:hAnsi="Arial" w:cs="Arial"/>
                <w:bCs/>
                <w:sz w:val="20"/>
                <w:szCs w:val="20"/>
              </w:rPr>
              <w:t>, urgencias</w:t>
            </w:r>
            <w:r w:rsidRPr="00591F47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FD34E0" w:rsidRPr="00FD34E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FD34E0" w:rsidRDefault="00FD34E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36C7" w:rsidRPr="005B6EB7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923BD"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0C5038" w:rsidRDefault="00F21C1B" w:rsidP="000C503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E0487F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úmero </w:t>
            </w:r>
            <w:r w:rsidRPr="00E0487F">
              <w:rPr>
                <w:rFonts w:ascii="Arial" w:hAnsi="Arial" w:cs="Arial"/>
                <w:bCs/>
                <w:sz w:val="20"/>
                <w:szCs w:val="20"/>
              </w:rPr>
              <w:t xml:space="preserve">de consultas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programadas</w:t>
            </w:r>
            <w:r w:rsidR="000C5038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="000C5038" w:rsidRPr="00591F47">
              <w:rPr>
                <w:rFonts w:ascii="Arial" w:hAnsi="Arial" w:cs="Arial"/>
                <w:bCs/>
                <w:sz w:val="20"/>
                <w:szCs w:val="20"/>
              </w:rPr>
              <w:t>primera vez, subsecuente</w:t>
            </w:r>
            <w:r w:rsidR="002F2579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0C503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0C5038" w:rsidRPr="00591F4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0C5038" w:rsidRPr="00591F47"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proofErr w:type="spellEnd"/>
            <w:r w:rsidR="00016394">
              <w:rPr>
                <w:rFonts w:ascii="Arial" w:hAnsi="Arial" w:cs="Arial"/>
                <w:bCs/>
                <w:sz w:val="20"/>
                <w:szCs w:val="20"/>
              </w:rPr>
              <w:t>, urgencias</w:t>
            </w:r>
            <w:r w:rsidR="000C5038" w:rsidRPr="00591F47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0C5038" w:rsidRPr="00FD34E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F21C1B" w:rsidRDefault="00F21C1B" w:rsidP="00364E3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21C1B" w:rsidRPr="000A24E1" w:rsidRDefault="00F21C1B" w:rsidP="00364E3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F01C0F" w:rsidRDefault="00F01C0F" w:rsidP="00F01C0F">
            <w:pPr>
              <w:rPr>
                <w:rFonts w:ascii="Arial" w:hAnsi="Arial" w:cs="Arial"/>
                <w:sz w:val="20"/>
                <w:szCs w:val="20"/>
              </w:rPr>
            </w:pPr>
          </w:p>
          <w:p w:rsidR="00F01C0F" w:rsidRDefault="00FD34E0" w:rsidP="00352D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4E0">
              <w:rPr>
                <w:rFonts w:ascii="Arial" w:hAnsi="Arial" w:cs="Arial"/>
                <w:bCs/>
                <w:sz w:val="20"/>
                <w:szCs w:val="20"/>
              </w:rPr>
              <w:t xml:space="preserve">Consultas realizadas </w:t>
            </w:r>
            <w:r w:rsidR="00F21C1B">
              <w:rPr>
                <w:rFonts w:ascii="Arial" w:hAnsi="Arial" w:cs="Arial"/>
                <w:bCs/>
                <w:sz w:val="20"/>
                <w:szCs w:val="20"/>
              </w:rPr>
              <w:t>en el periodo que incluye</w:t>
            </w:r>
            <w:r w:rsidR="00D623E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21C1B">
              <w:rPr>
                <w:rFonts w:ascii="Arial" w:hAnsi="Arial" w:cs="Arial"/>
                <w:bCs/>
                <w:sz w:val="20"/>
                <w:szCs w:val="20"/>
              </w:rPr>
              <w:t xml:space="preserve">a las </w:t>
            </w:r>
            <w:proofErr w:type="spellStart"/>
            <w:r w:rsidR="00F21C1B"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r w:rsidR="00B7383F">
              <w:rPr>
                <w:rFonts w:ascii="Arial" w:hAnsi="Arial" w:cs="Arial"/>
                <w:bCs/>
                <w:sz w:val="20"/>
                <w:szCs w:val="20"/>
              </w:rPr>
              <w:t>s</w:t>
            </w:r>
            <w:proofErr w:type="spellEnd"/>
            <w:r w:rsidR="00F21C1B">
              <w:rPr>
                <w:rFonts w:ascii="Arial" w:hAnsi="Arial" w:cs="Arial"/>
                <w:bCs/>
                <w:sz w:val="20"/>
                <w:szCs w:val="20"/>
              </w:rPr>
              <w:t xml:space="preserve">, primera vez y </w:t>
            </w:r>
            <w:r w:rsidR="00D623E4">
              <w:rPr>
                <w:rFonts w:ascii="Arial" w:hAnsi="Arial" w:cs="Arial"/>
                <w:bCs/>
                <w:sz w:val="20"/>
                <w:szCs w:val="20"/>
              </w:rPr>
              <w:t>su</w:t>
            </w:r>
            <w:r w:rsidR="00F21C1B">
              <w:rPr>
                <w:rFonts w:ascii="Arial" w:hAnsi="Arial" w:cs="Arial"/>
                <w:bCs/>
                <w:sz w:val="20"/>
                <w:szCs w:val="20"/>
              </w:rPr>
              <w:t>bsecuentes</w:t>
            </w:r>
            <w:r w:rsidR="00016394">
              <w:rPr>
                <w:rFonts w:ascii="Arial" w:hAnsi="Arial" w:cs="Arial"/>
                <w:bCs/>
                <w:sz w:val="20"/>
                <w:szCs w:val="20"/>
              </w:rPr>
              <w:t>, además de urgencias</w:t>
            </w:r>
          </w:p>
          <w:p w:rsidR="008C2DFD" w:rsidRDefault="00353BAB" w:rsidP="00352D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A7306" w:rsidRDefault="00FD34E0" w:rsidP="00352D5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D34E0">
              <w:rPr>
                <w:rFonts w:ascii="Arial" w:hAnsi="Arial" w:cs="Arial"/>
                <w:bCs/>
                <w:sz w:val="20"/>
                <w:szCs w:val="20"/>
              </w:rPr>
              <w:t xml:space="preserve">Consultas </w:t>
            </w:r>
            <w:r w:rsidR="00164DDD">
              <w:rPr>
                <w:rFonts w:ascii="Arial" w:hAnsi="Arial" w:cs="Arial"/>
                <w:bCs/>
                <w:sz w:val="20"/>
                <w:szCs w:val="20"/>
              </w:rPr>
              <w:t xml:space="preserve">programadas </w:t>
            </w:r>
            <w:r w:rsidR="000C5038">
              <w:rPr>
                <w:rFonts w:ascii="Arial" w:hAnsi="Arial" w:cs="Arial"/>
                <w:bCs/>
                <w:sz w:val="20"/>
                <w:szCs w:val="20"/>
              </w:rPr>
              <w:t xml:space="preserve">que incluye las </w:t>
            </w:r>
            <w:proofErr w:type="spellStart"/>
            <w:r w:rsidR="000C5038"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r w:rsidR="00B7383F">
              <w:rPr>
                <w:rFonts w:ascii="Arial" w:hAnsi="Arial" w:cs="Arial"/>
                <w:bCs/>
                <w:sz w:val="20"/>
                <w:szCs w:val="20"/>
              </w:rPr>
              <w:t>s</w:t>
            </w:r>
            <w:proofErr w:type="spellEnd"/>
            <w:r w:rsidR="000C5038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</w:p>
          <w:p w:rsidR="000C5038" w:rsidRDefault="000C5038" w:rsidP="00352D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primera vez y subsecuentes</w:t>
            </w:r>
            <w:r w:rsidR="00016394">
              <w:rPr>
                <w:rFonts w:ascii="Arial" w:hAnsi="Arial" w:cs="Arial"/>
                <w:bCs/>
                <w:sz w:val="20"/>
                <w:szCs w:val="20"/>
              </w:rPr>
              <w:t>, además de urgencias</w:t>
            </w:r>
          </w:p>
          <w:p w:rsidR="00BB03A9" w:rsidRPr="008C2DFD" w:rsidRDefault="00BB03A9" w:rsidP="003F63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3CA" w:rsidTr="00352D54">
        <w:trPr>
          <w:trHeight w:val="285"/>
        </w:trPr>
        <w:tc>
          <w:tcPr>
            <w:tcW w:w="5209" w:type="dxa"/>
            <w:gridSpan w:val="16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Tr="00352D54">
        <w:trPr>
          <w:trHeight w:val="269"/>
        </w:trPr>
        <w:tc>
          <w:tcPr>
            <w:tcW w:w="5209" w:type="dxa"/>
            <w:gridSpan w:val="16"/>
            <w:shd w:val="clear" w:color="auto" w:fill="auto"/>
          </w:tcPr>
          <w:p w:rsidR="00352D54" w:rsidRDefault="00352D54" w:rsidP="00960420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3717EB" w:rsidRPr="00706E45" w:rsidRDefault="00960420" w:rsidP="00960420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E45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455BDA" w:rsidRPr="00706E45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706E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3717EB" w:rsidRPr="00706E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5A2A60" w:rsidRPr="00706E45" w:rsidRDefault="003717EB" w:rsidP="00455BDA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706E45">
              <w:rPr>
                <w:rFonts w:ascii="Arial" w:hAnsi="Arial" w:cs="Arial"/>
                <w:bCs/>
                <w:sz w:val="20"/>
                <w:szCs w:val="20"/>
              </w:rPr>
              <w:t>Eficacia en el otorgamiento de consulta programada</w:t>
            </w:r>
            <w:r w:rsidR="00455BDA" w:rsidRPr="00706E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06E45">
              <w:rPr>
                <w:rFonts w:ascii="Arial" w:hAnsi="Arial" w:cs="Arial"/>
                <w:bCs/>
                <w:sz w:val="20"/>
                <w:szCs w:val="20"/>
              </w:rPr>
              <w:t xml:space="preserve"> (primera vez, subsecuentes, </w:t>
            </w:r>
            <w:proofErr w:type="spellStart"/>
            <w:r w:rsidRPr="00706E45"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proofErr w:type="spellEnd"/>
            <w:r w:rsidRPr="00706E45">
              <w:rPr>
                <w:rFonts w:ascii="Arial" w:hAnsi="Arial" w:cs="Arial"/>
                <w:bCs/>
                <w:sz w:val="20"/>
                <w:szCs w:val="20"/>
              </w:rPr>
              <w:t>, urgencias)</w:t>
            </w:r>
          </w:p>
          <w:p w:rsidR="00802E93" w:rsidRDefault="00455BDA" w:rsidP="00E27097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E27097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802E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802E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/Eficacia</w:t>
            </w:r>
            <w:r w:rsidR="00802E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en</w:t>
            </w:r>
            <w:r w:rsidR="00802E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el</w:t>
            </w:r>
            <w:r w:rsidR="00802E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otorgamiento</w:t>
            </w:r>
          </w:p>
          <w:p w:rsidR="00E27097" w:rsidRPr="00E27097" w:rsidRDefault="00802E93" w:rsidP="00E27097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consulta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programada</w:t>
            </w:r>
            <w:proofErr w:type="spellEnd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(primera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vez,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subsecuentes,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proofErr w:type="spellStart"/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preconsulta</w:t>
            </w:r>
            <w:proofErr w:type="spellEnd"/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,</w:t>
            </w:r>
            <w:r w:rsidR="00DC70F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E27097"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urgencias)</w:t>
            </w:r>
            <w:r w:rsidR="00E27097" w:rsidRPr="00E27097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  <w:t xml:space="preserve"> </w:t>
            </w:r>
          </w:p>
          <w:p w:rsidR="00455BDA" w:rsidRPr="000930A7" w:rsidRDefault="00455BDA" w:rsidP="00455BDA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455BDA" w:rsidRPr="000A24E1" w:rsidRDefault="00455BDA" w:rsidP="00455BDA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5A2A60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2A60" w:rsidRPr="005B6EB7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Consulta</w:t>
            </w:r>
          </w:p>
        </w:tc>
      </w:tr>
      <w:tr w:rsidR="005A2A60" w:rsidTr="00352D54">
        <w:trPr>
          <w:trHeight w:val="272"/>
        </w:trPr>
        <w:tc>
          <w:tcPr>
            <w:tcW w:w="5209" w:type="dxa"/>
            <w:gridSpan w:val="16"/>
            <w:shd w:val="clear" w:color="auto" w:fill="auto"/>
          </w:tcPr>
          <w:p w:rsidR="00FB5270" w:rsidRDefault="00FB5270" w:rsidP="00960420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3717EB" w:rsidRPr="00706E45" w:rsidRDefault="00960420" w:rsidP="00960420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E45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BD2EF7" w:rsidRPr="00706E45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706E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3717EB" w:rsidRPr="00706E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BD2EF7" w:rsidRPr="00706E45" w:rsidRDefault="003717EB" w:rsidP="00BD2EF7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706E45">
              <w:rPr>
                <w:rFonts w:ascii="Arial" w:hAnsi="Arial" w:cs="Arial"/>
                <w:bCs/>
                <w:sz w:val="20"/>
                <w:szCs w:val="20"/>
              </w:rPr>
              <w:t>Eficacia en el otorgamiento de consulta programada</w:t>
            </w:r>
            <w:r w:rsidR="00BD2EF7" w:rsidRPr="00706E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06E45">
              <w:rPr>
                <w:rFonts w:ascii="Arial" w:hAnsi="Arial" w:cs="Arial"/>
                <w:bCs/>
                <w:sz w:val="20"/>
                <w:szCs w:val="20"/>
              </w:rPr>
              <w:t xml:space="preserve"> (primera vez, subsecuentes, </w:t>
            </w:r>
            <w:proofErr w:type="spellStart"/>
            <w:r w:rsidRPr="00706E45"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proofErr w:type="spellEnd"/>
            <w:r w:rsidRPr="00706E45">
              <w:rPr>
                <w:rFonts w:ascii="Arial" w:hAnsi="Arial" w:cs="Arial"/>
                <w:bCs/>
                <w:sz w:val="20"/>
                <w:szCs w:val="20"/>
              </w:rPr>
              <w:t>, urgencias)</w:t>
            </w:r>
          </w:p>
          <w:p w:rsidR="009049D8" w:rsidRDefault="009049D8" w:rsidP="009049D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E27097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/Eficacia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otorgamiento</w:t>
            </w:r>
          </w:p>
          <w:p w:rsidR="009049D8" w:rsidRPr="00E27097" w:rsidRDefault="009049D8" w:rsidP="009049D8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consulta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programada</w:t>
            </w:r>
            <w:proofErr w:type="spellEnd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(primera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vez,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subsecuentes,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proofErr w:type="spellStart"/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preconsulta</w:t>
            </w:r>
            <w:proofErr w:type="spellEnd"/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-</w:t>
            </w:r>
            <w:r w:rsidRPr="00E27097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urgencias)</w:t>
            </w:r>
            <w:r w:rsidRPr="00E27097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  <w:t xml:space="preserve"> </w:t>
            </w:r>
          </w:p>
          <w:p w:rsidR="00BD2EF7" w:rsidRPr="000930A7" w:rsidRDefault="00BD2EF7" w:rsidP="00BD2EF7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5A2A60" w:rsidRPr="000A24E1" w:rsidRDefault="00BD2EF7" w:rsidP="00BD2EF7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  <w:r w:rsidR="003717EB" w:rsidRPr="003A092F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5A2A60" w:rsidRDefault="005A2A60" w:rsidP="00353BA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2A60" w:rsidRPr="005B6EB7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Consulta</w:t>
            </w:r>
            <w:bookmarkStart w:id="0" w:name="_GoBack"/>
            <w:bookmarkEnd w:id="0"/>
          </w:p>
        </w:tc>
      </w:tr>
      <w:tr w:rsidR="005A2A60" w:rsidTr="00352D54">
        <w:trPr>
          <w:trHeight w:val="483"/>
        </w:trPr>
        <w:tc>
          <w:tcPr>
            <w:tcW w:w="5209" w:type="dxa"/>
            <w:gridSpan w:val="16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5B6EB7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5A2A60" w:rsidRPr="005B6EB7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5A2A60" w:rsidTr="00352D54">
        <w:trPr>
          <w:trHeight w:val="483"/>
        </w:trPr>
        <w:tc>
          <w:tcPr>
            <w:tcW w:w="5209" w:type="dxa"/>
            <w:gridSpan w:val="16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530C">
              <w:rPr>
                <w:rFonts w:ascii="Arial" w:hAnsi="Arial" w:cs="Arial"/>
                <w:bCs/>
                <w:sz w:val="20"/>
                <w:szCs w:val="20"/>
              </w:rPr>
              <w:t>Explo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40530C">
              <w:rPr>
                <w:rFonts w:ascii="Arial" w:hAnsi="Arial" w:cs="Arial"/>
                <w:bCs/>
                <w:sz w:val="20"/>
                <w:szCs w:val="20"/>
              </w:rPr>
              <w:t>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5A2A60" w:rsidRDefault="00920A05" w:rsidP="005A7306">
            <w:pPr>
              <w:rPr>
                <w:rFonts w:ascii="Arial" w:hAnsi="Arial" w:cs="Arial"/>
                <w:sz w:val="20"/>
                <w:szCs w:val="20"/>
              </w:rPr>
            </w:pPr>
            <w:r w:rsidRPr="006B42E4">
              <w:rPr>
                <w:rFonts w:ascii="Arial" w:hAnsi="Arial" w:cs="Arial"/>
                <w:sz w:val="20"/>
                <w:szCs w:val="20"/>
              </w:rPr>
              <w:t>Marzo 2020</w:t>
            </w:r>
            <w:r w:rsidR="005A2A60" w:rsidRPr="00954691">
              <w:rPr>
                <w:rFonts w:ascii="Arial" w:hAnsi="Arial" w:cs="Arial"/>
                <w:sz w:val="20"/>
                <w:szCs w:val="20"/>
              </w:rPr>
              <w:t xml:space="preserve"> (Definitivo</w:t>
            </w:r>
            <w:r w:rsidR="005A2A60" w:rsidRPr="002B110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A2A60" w:rsidTr="00352D54">
        <w:trPr>
          <w:trHeight w:val="274"/>
        </w:trPr>
        <w:tc>
          <w:tcPr>
            <w:tcW w:w="10235" w:type="dxa"/>
            <w:gridSpan w:val="25"/>
            <w:shd w:val="clear" w:color="auto" w:fill="FFCC99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Tr="00352D54">
        <w:trPr>
          <w:trHeight w:val="503"/>
        </w:trPr>
        <w:tc>
          <w:tcPr>
            <w:tcW w:w="3289" w:type="dxa"/>
            <w:gridSpan w:val="6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8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Tr="00FB5270">
        <w:trPr>
          <w:trHeight w:val="163"/>
        </w:trPr>
        <w:tc>
          <w:tcPr>
            <w:tcW w:w="3289" w:type="dxa"/>
            <w:gridSpan w:val="6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8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2A60" w:rsidTr="00352D54">
        <w:trPr>
          <w:trHeight w:val="274"/>
        </w:trPr>
        <w:tc>
          <w:tcPr>
            <w:tcW w:w="10235" w:type="dxa"/>
            <w:gridSpan w:val="25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Tr="00352D54">
        <w:trPr>
          <w:trHeight w:val="274"/>
        </w:trPr>
        <w:tc>
          <w:tcPr>
            <w:tcW w:w="10235" w:type="dxa"/>
            <w:gridSpan w:val="25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2A60" w:rsidTr="00352D54">
        <w:trPr>
          <w:trHeight w:val="274"/>
        </w:trPr>
        <w:tc>
          <w:tcPr>
            <w:tcW w:w="10235" w:type="dxa"/>
            <w:gridSpan w:val="25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Tr="00FB5270">
        <w:trPr>
          <w:trHeight w:val="1629"/>
        </w:trPr>
        <w:tc>
          <w:tcPr>
            <w:tcW w:w="10235" w:type="dxa"/>
            <w:gridSpan w:val="25"/>
            <w:shd w:val="clear" w:color="auto" w:fill="auto"/>
          </w:tcPr>
          <w:p w:rsidR="005A2A60" w:rsidRPr="009846CE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7133B" w:rsidRPr="009846CE" w:rsidRDefault="00F3229F" w:rsidP="005A7306">
            <w:pPr>
              <w:tabs>
                <w:tab w:val="num" w:pos="0"/>
              </w:tabs>
              <w:ind w:left="34"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846CE">
              <w:rPr>
                <w:rFonts w:ascii="Arial" w:hAnsi="Arial" w:cs="Arial"/>
                <w:bCs/>
                <w:sz w:val="20"/>
                <w:szCs w:val="20"/>
              </w:rPr>
              <w:t xml:space="preserve">El indicador tiene como propósito el evaluar el uso eficiente </w:t>
            </w:r>
            <w:r w:rsidR="009846CE" w:rsidRPr="009846CE">
              <w:rPr>
                <w:rFonts w:ascii="Arial" w:hAnsi="Arial" w:cs="Arial"/>
                <w:bCs/>
                <w:sz w:val="20"/>
                <w:szCs w:val="20"/>
              </w:rPr>
              <w:t xml:space="preserve">en atención ambulatoria </w:t>
            </w:r>
            <w:r w:rsidRPr="009846CE">
              <w:rPr>
                <w:rFonts w:ascii="Arial" w:hAnsi="Arial" w:cs="Arial"/>
                <w:bCs/>
                <w:sz w:val="20"/>
                <w:szCs w:val="20"/>
              </w:rPr>
              <w:t>de los recursos financieros, humanos, inf</w:t>
            </w:r>
            <w:r w:rsidR="009846CE" w:rsidRPr="009846CE">
              <w:rPr>
                <w:rFonts w:ascii="Arial" w:hAnsi="Arial" w:cs="Arial"/>
                <w:bCs/>
                <w:sz w:val="20"/>
                <w:szCs w:val="20"/>
              </w:rPr>
              <w:t>raestructura de la institución por lo cual se contemplan todas las consultas otorgadas, incluida la atención de urgencias</w:t>
            </w:r>
            <w:r w:rsidR="006414A8">
              <w:rPr>
                <w:rFonts w:ascii="Arial" w:hAnsi="Arial" w:cs="Arial"/>
                <w:bCs/>
                <w:sz w:val="20"/>
                <w:szCs w:val="20"/>
              </w:rPr>
              <w:t xml:space="preserve"> y/o admisión continua.</w:t>
            </w:r>
          </w:p>
          <w:p w:rsidR="00F3229F" w:rsidRPr="009846CE" w:rsidRDefault="00F3229F" w:rsidP="00F3229F">
            <w:pPr>
              <w:tabs>
                <w:tab w:val="num" w:pos="540"/>
              </w:tabs>
              <w:ind w:left="540" w:right="-468" w:hanging="5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2A60" w:rsidRDefault="00F3229F" w:rsidP="00CD3255">
            <w:pPr>
              <w:tabs>
                <w:tab w:val="num" w:pos="0"/>
              </w:tabs>
              <w:ind w:left="34"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846CE">
              <w:rPr>
                <w:rFonts w:ascii="Arial" w:hAnsi="Arial" w:cs="Arial"/>
                <w:bCs/>
                <w:sz w:val="20"/>
                <w:szCs w:val="20"/>
              </w:rPr>
              <w:t>La cuantificación de las consultas de urgencias corresponde a la estimación de las consultas por urgencias y</w:t>
            </w:r>
            <w:r w:rsidR="006414A8">
              <w:rPr>
                <w:rFonts w:ascii="Arial" w:hAnsi="Arial" w:cs="Arial"/>
                <w:bCs/>
                <w:sz w:val="20"/>
                <w:szCs w:val="20"/>
              </w:rPr>
              <w:t>/o</w:t>
            </w:r>
            <w:r w:rsidRPr="009846CE">
              <w:rPr>
                <w:rFonts w:ascii="Arial" w:hAnsi="Arial" w:cs="Arial"/>
                <w:bCs/>
                <w:sz w:val="20"/>
                <w:szCs w:val="20"/>
              </w:rPr>
              <w:t xml:space="preserve"> admisión continu</w:t>
            </w:r>
            <w:r w:rsidR="00613F2F" w:rsidRPr="009846CE">
              <w:rPr>
                <w:rFonts w:ascii="Arial" w:hAnsi="Arial" w:cs="Arial"/>
                <w:bCs/>
                <w:sz w:val="20"/>
                <w:szCs w:val="20"/>
              </w:rPr>
              <w:t>a que atenderá la institución en el periodo.</w:t>
            </w:r>
          </w:p>
          <w:p w:rsidR="00FB5270" w:rsidRPr="009846CE" w:rsidRDefault="00FB5270" w:rsidP="00CD3255">
            <w:pPr>
              <w:tabs>
                <w:tab w:val="num" w:pos="0"/>
              </w:tabs>
              <w:ind w:left="34"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E92259" w:rsidRDefault="00E92259" w:rsidP="00CD3255"/>
    <w:sectPr w:rsidR="00E92259" w:rsidSect="00920A05">
      <w:pgSz w:w="12240" w:h="15840"/>
      <w:pgMar w:top="851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6394"/>
    <w:rsid w:val="00017291"/>
    <w:rsid w:val="0002007E"/>
    <w:rsid w:val="0002143B"/>
    <w:rsid w:val="00022482"/>
    <w:rsid w:val="0002557E"/>
    <w:rsid w:val="000279B2"/>
    <w:rsid w:val="00032185"/>
    <w:rsid w:val="00032B4A"/>
    <w:rsid w:val="00035B56"/>
    <w:rsid w:val="000372AE"/>
    <w:rsid w:val="000407AB"/>
    <w:rsid w:val="000408FC"/>
    <w:rsid w:val="0004319D"/>
    <w:rsid w:val="00045EEE"/>
    <w:rsid w:val="0005219A"/>
    <w:rsid w:val="00052C77"/>
    <w:rsid w:val="00053CBB"/>
    <w:rsid w:val="00056194"/>
    <w:rsid w:val="00061691"/>
    <w:rsid w:val="00061DD0"/>
    <w:rsid w:val="00065B24"/>
    <w:rsid w:val="0007028B"/>
    <w:rsid w:val="0007663E"/>
    <w:rsid w:val="00077663"/>
    <w:rsid w:val="00077D08"/>
    <w:rsid w:val="00082BE4"/>
    <w:rsid w:val="00083114"/>
    <w:rsid w:val="00086F89"/>
    <w:rsid w:val="000950E6"/>
    <w:rsid w:val="00096F04"/>
    <w:rsid w:val="000A0702"/>
    <w:rsid w:val="000A24E1"/>
    <w:rsid w:val="000A5869"/>
    <w:rsid w:val="000B009A"/>
    <w:rsid w:val="000B0F78"/>
    <w:rsid w:val="000B4337"/>
    <w:rsid w:val="000B6523"/>
    <w:rsid w:val="000C5038"/>
    <w:rsid w:val="000D0CA2"/>
    <w:rsid w:val="000D13B6"/>
    <w:rsid w:val="000D3ED4"/>
    <w:rsid w:val="000D4D17"/>
    <w:rsid w:val="000D7076"/>
    <w:rsid w:val="000E1009"/>
    <w:rsid w:val="000E3BA8"/>
    <w:rsid w:val="000E3CC9"/>
    <w:rsid w:val="000E4B33"/>
    <w:rsid w:val="000E7ADE"/>
    <w:rsid w:val="000F324F"/>
    <w:rsid w:val="000F523B"/>
    <w:rsid w:val="000F55CE"/>
    <w:rsid w:val="00100AE9"/>
    <w:rsid w:val="00125E79"/>
    <w:rsid w:val="0012611A"/>
    <w:rsid w:val="00126221"/>
    <w:rsid w:val="00134A05"/>
    <w:rsid w:val="0013665B"/>
    <w:rsid w:val="0014722D"/>
    <w:rsid w:val="00153571"/>
    <w:rsid w:val="001540A6"/>
    <w:rsid w:val="001556F9"/>
    <w:rsid w:val="001564BD"/>
    <w:rsid w:val="001649D5"/>
    <w:rsid w:val="00164DDD"/>
    <w:rsid w:val="001679B7"/>
    <w:rsid w:val="00171218"/>
    <w:rsid w:val="00171537"/>
    <w:rsid w:val="00173BAC"/>
    <w:rsid w:val="001750ED"/>
    <w:rsid w:val="00175BD9"/>
    <w:rsid w:val="0017781A"/>
    <w:rsid w:val="00177917"/>
    <w:rsid w:val="001A10F8"/>
    <w:rsid w:val="001A18C7"/>
    <w:rsid w:val="001A7190"/>
    <w:rsid w:val="001B02EE"/>
    <w:rsid w:val="001B3846"/>
    <w:rsid w:val="001B43D0"/>
    <w:rsid w:val="001B4CA9"/>
    <w:rsid w:val="001C0955"/>
    <w:rsid w:val="001C2315"/>
    <w:rsid w:val="001C394E"/>
    <w:rsid w:val="001D103F"/>
    <w:rsid w:val="001D1B0E"/>
    <w:rsid w:val="001D42E4"/>
    <w:rsid w:val="001D73C0"/>
    <w:rsid w:val="001E0819"/>
    <w:rsid w:val="001E29D2"/>
    <w:rsid w:val="001E5FC8"/>
    <w:rsid w:val="001F2BA9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096F"/>
    <w:rsid w:val="002B1108"/>
    <w:rsid w:val="002B1767"/>
    <w:rsid w:val="002B5933"/>
    <w:rsid w:val="002B605F"/>
    <w:rsid w:val="002C102A"/>
    <w:rsid w:val="002C7412"/>
    <w:rsid w:val="002D0729"/>
    <w:rsid w:val="002D2447"/>
    <w:rsid w:val="002E0C63"/>
    <w:rsid w:val="002E5808"/>
    <w:rsid w:val="002E5CAC"/>
    <w:rsid w:val="002E7721"/>
    <w:rsid w:val="002F2579"/>
    <w:rsid w:val="002F3E7B"/>
    <w:rsid w:val="003068AC"/>
    <w:rsid w:val="00310CD4"/>
    <w:rsid w:val="00311948"/>
    <w:rsid w:val="00311A55"/>
    <w:rsid w:val="00312203"/>
    <w:rsid w:val="00313E3C"/>
    <w:rsid w:val="00313F80"/>
    <w:rsid w:val="003151D2"/>
    <w:rsid w:val="0031574C"/>
    <w:rsid w:val="00316DE8"/>
    <w:rsid w:val="00332A47"/>
    <w:rsid w:val="00337D2C"/>
    <w:rsid w:val="00337FA8"/>
    <w:rsid w:val="003402DA"/>
    <w:rsid w:val="0034543F"/>
    <w:rsid w:val="00345B2D"/>
    <w:rsid w:val="00352D54"/>
    <w:rsid w:val="00353BAB"/>
    <w:rsid w:val="00360965"/>
    <w:rsid w:val="00363506"/>
    <w:rsid w:val="00363FC2"/>
    <w:rsid w:val="00364109"/>
    <w:rsid w:val="00364E34"/>
    <w:rsid w:val="003677F6"/>
    <w:rsid w:val="003717EB"/>
    <w:rsid w:val="00372EB0"/>
    <w:rsid w:val="00377CFE"/>
    <w:rsid w:val="003809B8"/>
    <w:rsid w:val="00383B5E"/>
    <w:rsid w:val="00384C8A"/>
    <w:rsid w:val="00384D6D"/>
    <w:rsid w:val="00391DC2"/>
    <w:rsid w:val="00392A7D"/>
    <w:rsid w:val="003943F6"/>
    <w:rsid w:val="003A092F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61F4"/>
    <w:rsid w:val="003F633D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36F5"/>
    <w:rsid w:val="004478B6"/>
    <w:rsid w:val="00451444"/>
    <w:rsid w:val="00455BDA"/>
    <w:rsid w:val="0045632E"/>
    <w:rsid w:val="0046098E"/>
    <w:rsid w:val="00467CBF"/>
    <w:rsid w:val="0047580B"/>
    <w:rsid w:val="00480806"/>
    <w:rsid w:val="004819FB"/>
    <w:rsid w:val="00485E51"/>
    <w:rsid w:val="00494ED4"/>
    <w:rsid w:val="004A573E"/>
    <w:rsid w:val="004A66B4"/>
    <w:rsid w:val="004B1AE3"/>
    <w:rsid w:val="004B3B83"/>
    <w:rsid w:val="004B7F66"/>
    <w:rsid w:val="004C04C3"/>
    <w:rsid w:val="004C1D83"/>
    <w:rsid w:val="004C1FF5"/>
    <w:rsid w:val="004C395A"/>
    <w:rsid w:val="004C3A4B"/>
    <w:rsid w:val="004C5813"/>
    <w:rsid w:val="004D11B9"/>
    <w:rsid w:val="004D57B0"/>
    <w:rsid w:val="004D6969"/>
    <w:rsid w:val="004D7B26"/>
    <w:rsid w:val="004E0C64"/>
    <w:rsid w:val="004E184C"/>
    <w:rsid w:val="004E2B8F"/>
    <w:rsid w:val="004E399E"/>
    <w:rsid w:val="004E5B50"/>
    <w:rsid w:val="004E7A71"/>
    <w:rsid w:val="004F76A0"/>
    <w:rsid w:val="0050580F"/>
    <w:rsid w:val="005064BD"/>
    <w:rsid w:val="00507431"/>
    <w:rsid w:val="00507DF3"/>
    <w:rsid w:val="00513C43"/>
    <w:rsid w:val="0052195B"/>
    <w:rsid w:val="005269F1"/>
    <w:rsid w:val="0053138B"/>
    <w:rsid w:val="005338DC"/>
    <w:rsid w:val="005339AF"/>
    <w:rsid w:val="00533BC4"/>
    <w:rsid w:val="00535617"/>
    <w:rsid w:val="0053740C"/>
    <w:rsid w:val="005411EB"/>
    <w:rsid w:val="00541E9A"/>
    <w:rsid w:val="00542B83"/>
    <w:rsid w:val="005431FF"/>
    <w:rsid w:val="00543204"/>
    <w:rsid w:val="00551BEF"/>
    <w:rsid w:val="00551C99"/>
    <w:rsid w:val="00555F07"/>
    <w:rsid w:val="005622EA"/>
    <w:rsid w:val="00571040"/>
    <w:rsid w:val="00571F91"/>
    <w:rsid w:val="005742BD"/>
    <w:rsid w:val="0058105F"/>
    <w:rsid w:val="005816C0"/>
    <w:rsid w:val="005837BE"/>
    <w:rsid w:val="00584B30"/>
    <w:rsid w:val="00586166"/>
    <w:rsid w:val="00590FAF"/>
    <w:rsid w:val="005910EE"/>
    <w:rsid w:val="00591F47"/>
    <w:rsid w:val="00593062"/>
    <w:rsid w:val="00593811"/>
    <w:rsid w:val="00593CD2"/>
    <w:rsid w:val="005944CA"/>
    <w:rsid w:val="005A2A60"/>
    <w:rsid w:val="005A32B5"/>
    <w:rsid w:val="005A4F4C"/>
    <w:rsid w:val="005A5E81"/>
    <w:rsid w:val="005A7306"/>
    <w:rsid w:val="005B15DD"/>
    <w:rsid w:val="005B2796"/>
    <w:rsid w:val="005B2BC6"/>
    <w:rsid w:val="005B509F"/>
    <w:rsid w:val="005B6EB7"/>
    <w:rsid w:val="005C058A"/>
    <w:rsid w:val="005C0D48"/>
    <w:rsid w:val="005C6150"/>
    <w:rsid w:val="005C65AB"/>
    <w:rsid w:val="005D239C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4FC2"/>
    <w:rsid w:val="006017CA"/>
    <w:rsid w:val="00602EDE"/>
    <w:rsid w:val="00605E7F"/>
    <w:rsid w:val="006109E5"/>
    <w:rsid w:val="00613F2F"/>
    <w:rsid w:val="00615E49"/>
    <w:rsid w:val="006160CC"/>
    <w:rsid w:val="0062536F"/>
    <w:rsid w:val="00631EF9"/>
    <w:rsid w:val="00633FD1"/>
    <w:rsid w:val="00641320"/>
    <w:rsid w:val="006414A8"/>
    <w:rsid w:val="00641A9F"/>
    <w:rsid w:val="00647733"/>
    <w:rsid w:val="00647B16"/>
    <w:rsid w:val="00647C4D"/>
    <w:rsid w:val="00653F03"/>
    <w:rsid w:val="006550D1"/>
    <w:rsid w:val="006552FC"/>
    <w:rsid w:val="006563E1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2D5D"/>
    <w:rsid w:val="006B42E4"/>
    <w:rsid w:val="006B6146"/>
    <w:rsid w:val="006C075C"/>
    <w:rsid w:val="006C4FCA"/>
    <w:rsid w:val="006C5997"/>
    <w:rsid w:val="006C5D67"/>
    <w:rsid w:val="006C5FCE"/>
    <w:rsid w:val="006C6008"/>
    <w:rsid w:val="006D0643"/>
    <w:rsid w:val="006D2BCC"/>
    <w:rsid w:val="006D6356"/>
    <w:rsid w:val="006E023E"/>
    <w:rsid w:val="006E4CE6"/>
    <w:rsid w:val="006E74AD"/>
    <w:rsid w:val="00706E45"/>
    <w:rsid w:val="0071167C"/>
    <w:rsid w:val="007121EF"/>
    <w:rsid w:val="00712663"/>
    <w:rsid w:val="00716263"/>
    <w:rsid w:val="00720F07"/>
    <w:rsid w:val="007251BC"/>
    <w:rsid w:val="007258A5"/>
    <w:rsid w:val="00734D7D"/>
    <w:rsid w:val="00742DF7"/>
    <w:rsid w:val="00745261"/>
    <w:rsid w:val="007526DC"/>
    <w:rsid w:val="0075454A"/>
    <w:rsid w:val="007576DA"/>
    <w:rsid w:val="00760043"/>
    <w:rsid w:val="00760ADC"/>
    <w:rsid w:val="007615B9"/>
    <w:rsid w:val="00761842"/>
    <w:rsid w:val="00763562"/>
    <w:rsid w:val="00776C7B"/>
    <w:rsid w:val="007933FD"/>
    <w:rsid w:val="00795AB3"/>
    <w:rsid w:val="007A01B3"/>
    <w:rsid w:val="007C13B1"/>
    <w:rsid w:val="007C201C"/>
    <w:rsid w:val="007C5D8F"/>
    <w:rsid w:val="007E4BAB"/>
    <w:rsid w:val="007F269D"/>
    <w:rsid w:val="007F5827"/>
    <w:rsid w:val="007F5A60"/>
    <w:rsid w:val="00802BAE"/>
    <w:rsid w:val="00802E93"/>
    <w:rsid w:val="00805572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57D9"/>
    <w:rsid w:val="00856763"/>
    <w:rsid w:val="0086140F"/>
    <w:rsid w:val="008614CC"/>
    <w:rsid w:val="00861DF7"/>
    <w:rsid w:val="00864864"/>
    <w:rsid w:val="00865601"/>
    <w:rsid w:val="0087133B"/>
    <w:rsid w:val="00871FFA"/>
    <w:rsid w:val="00874293"/>
    <w:rsid w:val="00876F0F"/>
    <w:rsid w:val="008802A5"/>
    <w:rsid w:val="00882F96"/>
    <w:rsid w:val="008910F6"/>
    <w:rsid w:val="00896F72"/>
    <w:rsid w:val="008978F5"/>
    <w:rsid w:val="008A1390"/>
    <w:rsid w:val="008A4E1D"/>
    <w:rsid w:val="008B1633"/>
    <w:rsid w:val="008B226C"/>
    <w:rsid w:val="008B326D"/>
    <w:rsid w:val="008B68FF"/>
    <w:rsid w:val="008C2DFD"/>
    <w:rsid w:val="008C2E7B"/>
    <w:rsid w:val="008C5E89"/>
    <w:rsid w:val="008D4DF1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173"/>
    <w:rsid w:val="009013B5"/>
    <w:rsid w:val="009023A5"/>
    <w:rsid w:val="0090351D"/>
    <w:rsid w:val="009049D8"/>
    <w:rsid w:val="009056FF"/>
    <w:rsid w:val="009100B8"/>
    <w:rsid w:val="00911057"/>
    <w:rsid w:val="009121DB"/>
    <w:rsid w:val="00920A05"/>
    <w:rsid w:val="0092750D"/>
    <w:rsid w:val="00927C69"/>
    <w:rsid w:val="00935FBB"/>
    <w:rsid w:val="0093624C"/>
    <w:rsid w:val="00936511"/>
    <w:rsid w:val="009436C7"/>
    <w:rsid w:val="009441CA"/>
    <w:rsid w:val="00945C08"/>
    <w:rsid w:val="00947ADF"/>
    <w:rsid w:val="0095276D"/>
    <w:rsid w:val="00953CAF"/>
    <w:rsid w:val="00954036"/>
    <w:rsid w:val="00955FE2"/>
    <w:rsid w:val="00957957"/>
    <w:rsid w:val="00957A2E"/>
    <w:rsid w:val="00960420"/>
    <w:rsid w:val="009606E2"/>
    <w:rsid w:val="00964615"/>
    <w:rsid w:val="00964F67"/>
    <w:rsid w:val="00966780"/>
    <w:rsid w:val="00967CCF"/>
    <w:rsid w:val="00970073"/>
    <w:rsid w:val="00971822"/>
    <w:rsid w:val="00973CE3"/>
    <w:rsid w:val="009758C0"/>
    <w:rsid w:val="00977131"/>
    <w:rsid w:val="00980247"/>
    <w:rsid w:val="009846CE"/>
    <w:rsid w:val="00984AAE"/>
    <w:rsid w:val="009872CE"/>
    <w:rsid w:val="00987689"/>
    <w:rsid w:val="009905FC"/>
    <w:rsid w:val="00996DCB"/>
    <w:rsid w:val="009A48CB"/>
    <w:rsid w:val="009A5742"/>
    <w:rsid w:val="009A62CC"/>
    <w:rsid w:val="009A67A0"/>
    <w:rsid w:val="009A6DAF"/>
    <w:rsid w:val="009B3D61"/>
    <w:rsid w:val="009C320C"/>
    <w:rsid w:val="009C41D6"/>
    <w:rsid w:val="009C5C2D"/>
    <w:rsid w:val="009C74C9"/>
    <w:rsid w:val="009C775E"/>
    <w:rsid w:val="009D1ED8"/>
    <w:rsid w:val="009D528F"/>
    <w:rsid w:val="009E09C4"/>
    <w:rsid w:val="009E1033"/>
    <w:rsid w:val="009E62CA"/>
    <w:rsid w:val="009E6B06"/>
    <w:rsid w:val="009E752E"/>
    <w:rsid w:val="009F33FD"/>
    <w:rsid w:val="009F3646"/>
    <w:rsid w:val="009F3DC9"/>
    <w:rsid w:val="009F3FC1"/>
    <w:rsid w:val="009F607E"/>
    <w:rsid w:val="009F7EE4"/>
    <w:rsid w:val="00A023C7"/>
    <w:rsid w:val="00A02C2E"/>
    <w:rsid w:val="00A035E8"/>
    <w:rsid w:val="00A0685D"/>
    <w:rsid w:val="00A12983"/>
    <w:rsid w:val="00A23FBF"/>
    <w:rsid w:val="00A25B4C"/>
    <w:rsid w:val="00A2619E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623A4"/>
    <w:rsid w:val="00A705B7"/>
    <w:rsid w:val="00A711E0"/>
    <w:rsid w:val="00A76209"/>
    <w:rsid w:val="00A77D7E"/>
    <w:rsid w:val="00A80AF2"/>
    <w:rsid w:val="00A821B9"/>
    <w:rsid w:val="00A85C63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B5ACC"/>
    <w:rsid w:val="00AC367E"/>
    <w:rsid w:val="00AC5D9D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6D9B"/>
    <w:rsid w:val="00AE747A"/>
    <w:rsid w:val="00AE7E7A"/>
    <w:rsid w:val="00AF56A4"/>
    <w:rsid w:val="00AF7F13"/>
    <w:rsid w:val="00B0152D"/>
    <w:rsid w:val="00B02CA7"/>
    <w:rsid w:val="00B04D09"/>
    <w:rsid w:val="00B0743E"/>
    <w:rsid w:val="00B07E7B"/>
    <w:rsid w:val="00B1583E"/>
    <w:rsid w:val="00B17304"/>
    <w:rsid w:val="00B25159"/>
    <w:rsid w:val="00B27FB9"/>
    <w:rsid w:val="00B30307"/>
    <w:rsid w:val="00B30A45"/>
    <w:rsid w:val="00B34633"/>
    <w:rsid w:val="00B42541"/>
    <w:rsid w:val="00B436FE"/>
    <w:rsid w:val="00B53008"/>
    <w:rsid w:val="00B533D2"/>
    <w:rsid w:val="00B54E71"/>
    <w:rsid w:val="00B55DF5"/>
    <w:rsid w:val="00B561B5"/>
    <w:rsid w:val="00B708AF"/>
    <w:rsid w:val="00B71E02"/>
    <w:rsid w:val="00B71F22"/>
    <w:rsid w:val="00B7383F"/>
    <w:rsid w:val="00B74A5D"/>
    <w:rsid w:val="00B7538D"/>
    <w:rsid w:val="00B80F2A"/>
    <w:rsid w:val="00B82EDE"/>
    <w:rsid w:val="00B83A2A"/>
    <w:rsid w:val="00B83D07"/>
    <w:rsid w:val="00B91B4B"/>
    <w:rsid w:val="00B9624C"/>
    <w:rsid w:val="00BA1D96"/>
    <w:rsid w:val="00BA33AF"/>
    <w:rsid w:val="00BA5036"/>
    <w:rsid w:val="00BA5F91"/>
    <w:rsid w:val="00BB03A9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2EF7"/>
    <w:rsid w:val="00BD7548"/>
    <w:rsid w:val="00BD7606"/>
    <w:rsid w:val="00BE0AFF"/>
    <w:rsid w:val="00BE105B"/>
    <w:rsid w:val="00BE13DD"/>
    <w:rsid w:val="00BE2ABC"/>
    <w:rsid w:val="00BE361F"/>
    <w:rsid w:val="00BE4756"/>
    <w:rsid w:val="00BE7E62"/>
    <w:rsid w:val="00BF0C45"/>
    <w:rsid w:val="00BF24B5"/>
    <w:rsid w:val="00BF48A4"/>
    <w:rsid w:val="00C0041D"/>
    <w:rsid w:val="00C00FCA"/>
    <w:rsid w:val="00C02800"/>
    <w:rsid w:val="00C15AEC"/>
    <w:rsid w:val="00C22D31"/>
    <w:rsid w:val="00C27E28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0A97"/>
    <w:rsid w:val="00C71159"/>
    <w:rsid w:val="00C75DE1"/>
    <w:rsid w:val="00C76A0D"/>
    <w:rsid w:val="00C80BF4"/>
    <w:rsid w:val="00C824A4"/>
    <w:rsid w:val="00C85F8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C116B"/>
    <w:rsid w:val="00CC3EFF"/>
    <w:rsid w:val="00CC4E7F"/>
    <w:rsid w:val="00CC5086"/>
    <w:rsid w:val="00CC5C2E"/>
    <w:rsid w:val="00CC5F22"/>
    <w:rsid w:val="00CD1261"/>
    <w:rsid w:val="00CD2EF2"/>
    <w:rsid w:val="00CD3255"/>
    <w:rsid w:val="00CD50B9"/>
    <w:rsid w:val="00CD51B9"/>
    <w:rsid w:val="00CE0FD1"/>
    <w:rsid w:val="00CE2111"/>
    <w:rsid w:val="00CF4CD4"/>
    <w:rsid w:val="00D00B6A"/>
    <w:rsid w:val="00D011DB"/>
    <w:rsid w:val="00D01A6E"/>
    <w:rsid w:val="00D04B04"/>
    <w:rsid w:val="00D076A7"/>
    <w:rsid w:val="00D11B10"/>
    <w:rsid w:val="00D11D66"/>
    <w:rsid w:val="00D1406F"/>
    <w:rsid w:val="00D145EB"/>
    <w:rsid w:val="00D17404"/>
    <w:rsid w:val="00D1781E"/>
    <w:rsid w:val="00D204E1"/>
    <w:rsid w:val="00D27D63"/>
    <w:rsid w:val="00D32823"/>
    <w:rsid w:val="00D35D53"/>
    <w:rsid w:val="00D36B32"/>
    <w:rsid w:val="00D409DD"/>
    <w:rsid w:val="00D43555"/>
    <w:rsid w:val="00D5103F"/>
    <w:rsid w:val="00D51CA2"/>
    <w:rsid w:val="00D52B35"/>
    <w:rsid w:val="00D623E4"/>
    <w:rsid w:val="00D62701"/>
    <w:rsid w:val="00D630C3"/>
    <w:rsid w:val="00D73296"/>
    <w:rsid w:val="00D7448C"/>
    <w:rsid w:val="00D7686F"/>
    <w:rsid w:val="00D76BD4"/>
    <w:rsid w:val="00D77DC2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31F8"/>
    <w:rsid w:val="00DC4B3E"/>
    <w:rsid w:val="00DC70F4"/>
    <w:rsid w:val="00DC74DA"/>
    <w:rsid w:val="00DD4CC6"/>
    <w:rsid w:val="00DE60D6"/>
    <w:rsid w:val="00DF01B7"/>
    <w:rsid w:val="00DF2E7E"/>
    <w:rsid w:val="00E0487F"/>
    <w:rsid w:val="00E101C7"/>
    <w:rsid w:val="00E10407"/>
    <w:rsid w:val="00E10625"/>
    <w:rsid w:val="00E122D6"/>
    <w:rsid w:val="00E13306"/>
    <w:rsid w:val="00E23603"/>
    <w:rsid w:val="00E23FD4"/>
    <w:rsid w:val="00E244E3"/>
    <w:rsid w:val="00E27097"/>
    <w:rsid w:val="00E32FAF"/>
    <w:rsid w:val="00E403A8"/>
    <w:rsid w:val="00E45288"/>
    <w:rsid w:val="00E503D3"/>
    <w:rsid w:val="00E52ADB"/>
    <w:rsid w:val="00E5603C"/>
    <w:rsid w:val="00E67FE9"/>
    <w:rsid w:val="00E769CC"/>
    <w:rsid w:val="00E7700A"/>
    <w:rsid w:val="00E873B4"/>
    <w:rsid w:val="00E87793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571"/>
    <w:rsid w:val="00EC4A40"/>
    <w:rsid w:val="00EC61CF"/>
    <w:rsid w:val="00EC6547"/>
    <w:rsid w:val="00ED1BD3"/>
    <w:rsid w:val="00ED23E4"/>
    <w:rsid w:val="00ED2544"/>
    <w:rsid w:val="00ED2E85"/>
    <w:rsid w:val="00ED38E3"/>
    <w:rsid w:val="00ED5B74"/>
    <w:rsid w:val="00ED5D55"/>
    <w:rsid w:val="00EE47E8"/>
    <w:rsid w:val="00EE5181"/>
    <w:rsid w:val="00EE589E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1C1B"/>
    <w:rsid w:val="00F261E4"/>
    <w:rsid w:val="00F278AB"/>
    <w:rsid w:val="00F3229F"/>
    <w:rsid w:val="00F33E88"/>
    <w:rsid w:val="00F41D9D"/>
    <w:rsid w:val="00F4519B"/>
    <w:rsid w:val="00F45BB4"/>
    <w:rsid w:val="00F47F2E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7772A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3C54"/>
    <w:rsid w:val="00FB0C8A"/>
    <w:rsid w:val="00FB146A"/>
    <w:rsid w:val="00FB3835"/>
    <w:rsid w:val="00FB40B2"/>
    <w:rsid w:val="00FB5270"/>
    <w:rsid w:val="00FB553A"/>
    <w:rsid w:val="00FB65D5"/>
    <w:rsid w:val="00FD265D"/>
    <w:rsid w:val="00FD34E0"/>
    <w:rsid w:val="00FD38B8"/>
    <w:rsid w:val="00FD5281"/>
    <w:rsid w:val="00FE528A"/>
    <w:rsid w:val="00FE66FD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BDF274-E5B2-45D5-A418-E3ACFF9F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2E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59947-C588-409D-9F6F-85359439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767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68</cp:revision>
  <cp:lastPrinted>2018-06-13T17:39:00Z</cp:lastPrinted>
  <dcterms:created xsi:type="dcterms:W3CDTF">2018-06-13T17:39:00Z</dcterms:created>
  <dcterms:modified xsi:type="dcterms:W3CDTF">2018-11-15T23:15:00Z</dcterms:modified>
</cp:coreProperties>
</file>