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3C" w:rsidRPr="00176BC9" w:rsidRDefault="00DC40F5" w:rsidP="00DC40F5">
      <w:pPr>
        <w:jc w:val="center"/>
      </w:pPr>
      <w:r w:rsidRPr="00176BC9">
        <w:t>MATR</w:t>
      </w:r>
      <w:r w:rsidR="00244D08" w:rsidRPr="00176BC9">
        <w:t>I</w:t>
      </w:r>
      <w:r w:rsidR="0013093C" w:rsidRPr="00176BC9">
        <w:t>Z DE INDICADORES 201</w:t>
      </w:r>
      <w:r w:rsidR="000364B4" w:rsidRPr="00176BC9">
        <w:t>9</w:t>
      </w:r>
    </w:p>
    <w:p w:rsidR="00A22864" w:rsidRPr="00176BC9" w:rsidRDefault="00DC40F5" w:rsidP="00DC40F5">
      <w:pPr>
        <w:jc w:val="center"/>
      </w:pPr>
      <w:r w:rsidRPr="00176BC9">
        <w:t xml:space="preserve">DEL PROGRAMA </w:t>
      </w:r>
      <w:r w:rsidR="00A334CF" w:rsidRPr="00176BC9">
        <w:t>E023 “</w:t>
      </w:r>
      <w:r w:rsidR="00F01737" w:rsidRPr="00176BC9">
        <w:t>ATENCIÓN A LA SALUD</w:t>
      </w:r>
      <w:r w:rsidR="00A334CF" w:rsidRPr="00176BC9">
        <w:t>”</w:t>
      </w:r>
    </w:p>
    <w:p w:rsidR="00DC40F5" w:rsidRPr="00F60707" w:rsidRDefault="00DC40F5" w:rsidP="00DC40F5">
      <w:pPr>
        <w:jc w:val="center"/>
      </w:pPr>
      <w:r w:rsidRPr="00176BC9">
        <w:t>FICHA TÉCNICA</w:t>
      </w:r>
      <w:r w:rsidR="004D180F" w:rsidRPr="00176BC9">
        <w:t xml:space="preserve"> </w:t>
      </w:r>
      <w:r w:rsidR="001E2B39" w:rsidRPr="00F60707">
        <w:rPr>
          <w:highlight w:val="yellow"/>
        </w:rPr>
        <w:t xml:space="preserve">NOVIEMBRE </w:t>
      </w:r>
      <w:r w:rsidR="00305A3B" w:rsidRPr="00F60707">
        <w:rPr>
          <w:highlight w:val="yellow"/>
        </w:rPr>
        <w:t>1</w:t>
      </w:r>
      <w:r w:rsidR="00F60707" w:rsidRPr="00F60707">
        <w:rPr>
          <w:highlight w:val="yellow"/>
        </w:rPr>
        <w:t>5</w:t>
      </w:r>
      <w:r w:rsidR="000364B4" w:rsidRPr="00F60707">
        <w:rPr>
          <w:highlight w:val="yellow"/>
        </w:rPr>
        <w:t xml:space="preserve"> 2018</w:t>
      </w:r>
      <w:r w:rsidR="00305A3B" w:rsidRPr="00F60707">
        <w:rPr>
          <w:highlight w:val="yellow"/>
        </w:rPr>
        <w:t xml:space="preserve"> FINAL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29"/>
      </w:tblGrid>
      <w:tr w:rsidR="00535617" w:rsidRPr="00176BC9" w:rsidTr="00D67DA0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000080"/>
          </w:tcPr>
          <w:p w:rsidR="003C62BA" w:rsidRPr="00176BC9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Porcentaje de pacientes</w:t>
            </w:r>
            <w:r w:rsidR="003C62BA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los que se les apertura </w:t>
            </w:r>
          </w:p>
          <w:p w:rsidR="00535617" w:rsidRPr="00176BC9" w:rsidRDefault="003C62BA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176BC9" w:rsidTr="00D67DA0">
        <w:tc>
          <w:tcPr>
            <w:tcW w:w="10235" w:type="dxa"/>
            <w:gridSpan w:val="24"/>
            <w:tcBorders>
              <w:bottom w:val="nil"/>
            </w:tcBorders>
            <w:shd w:val="clear" w:color="auto" w:fill="FF9900"/>
          </w:tcPr>
          <w:p w:rsidR="008325CB" w:rsidRPr="00176BC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76BC9" w:rsidTr="00D67DA0">
        <w:tc>
          <w:tcPr>
            <w:tcW w:w="2689" w:type="dxa"/>
            <w:gridSpan w:val="5"/>
            <w:tcBorders>
              <w:top w:val="nil"/>
            </w:tcBorders>
            <w:shd w:val="clear" w:color="auto" w:fill="auto"/>
          </w:tcPr>
          <w:p w:rsidR="006962E7" w:rsidRPr="00176BC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176BC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 w:rsidRPr="00176BC9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76BC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26" w:type="dxa"/>
            <w:gridSpan w:val="3"/>
            <w:tcBorders>
              <w:top w:val="nil"/>
            </w:tcBorders>
            <w:shd w:val="clear" w:color="auto" w:fill="auto"/>
          </w:tcPr>
          <w:p w:rsidR="006962E7" w:rsidRPr="00176BC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3C4452" w:rsidRPr="00176BC9">
              <w:rPr>
                <w:rFonts w:ascii="Arial" w:hAnsi="Arial" w:cs="Arial"/>
                <w:bCs/>
                <w:sz w:val="20"/>
                <w:szCs w:val="20"/>
              </w:rPr>
              <w:t>23</w:t>
            </w:r>
          </w:p>
        </w:tc>
      </w:tr>
      <w:tr w:rsidR="00E87793" w:rsidRPr="00176BC9" w:rsidTr="00D67DA0">
        <w:tc>
          <w:tcPr>
            <w:tcW w:w="10235" w:type="dxa"/>
            <w:gridSpan w:val="24"/>
            <w:shd w:val="clear" w:color="auto" w:fill="auto"/>
          </w:tcPr>
          <w:p w:rsidR="00E87793" w:rsidRPr="00176BC9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76BC9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76BC9" w:rsidTr="00D67DA0">
        <w:tc>
          <w:tcPr>
            <w:tcW w:w="4395" w:type="dxa"/>
            <w:gridSpan w:val="9"/>
            <w:shd w:val="clear" w:color="auto" w:fill="auto"/>
          </w:tcPr>
          <w:p w:rsidR="007C13B1" w:rsidRPr="00176BC9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840" w:type="dxa"/>
            <w:gridSpan w:val="15"/>
            <w:shd w:val="clear" w:color="auto" w:fill="auto"/>
          </w:tcPr>
          <w:p w:rsidR="007C13B1" w:rsidRPr="00176BC9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76BC9" w:rsidTr="00D67DA0">
        <w:tc>
          <w:tcPr>
            <w:tcW w:w="10235" w:type="dxa"/>
            <w:gridSpan w:val="24"/>
            <w:shd w:val="clear" w:color="auto" w:fill="auto"/>
          </w:tcPr>
          <w:p w:rsidR="00AA05A4" w:rsidRPr="00176BC9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176BC9" w:rsidRDefault="00926BB0" w:rsidP="00244D08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176BC9">
              <w:rPr>
                <w:rFonts w:ascii="Arial" w:hAnsi="Arial" w:cs="Arial"/>
                <w:bCs/>
                <w:sz w:val="20"/>
                <w:szCs w:val="20"/>
              </w:rPr>
              <w:t xml:space="preserve">atención médica 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176BC9" w:rsidTr="00D67DA0">
        <w:tc>
          <w:tcPr>
            <w:tcW w:w="10235" w:type="dxa"/>
            <w:gridSpan w:val="24"/>
            <w:shd w:val="clear" w:color="auto" w:fill="auto"/>
          </w:tcPr>
          <w:p w:rsidR="00AA05A4" w:rsidRPr="00176BC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76BC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3603" w:rsidRPr="00176BC9" w:rsidTr="00D67DA0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176BC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F01737" w:rsidRPr="00176BC9" w:rsidRDefault="00453870" w:rsidP="00F01737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Fin:</w:t>
            </w:r>
            <w:r w:rsidR="009F33FD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>Contribuir a asegurar el acceso efectivo a servicios de salud con calidad mediante la atención a la</w:t>
            </w:r>
            <w:r w:rsidR="00F01737"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</w:t>
            </w: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>emanda</w:t>
            </w:r>
          </w:p>
          <w:p w:rsidR="00626782" w:rsidRPr="00176BC9" w:rsidRDefault="00453870" w:rsidP="0062678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F01737"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d</w:t>
            </w: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>e</w:t>
            </w:r>
            <w:r w:rsidR="00F01737"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servicios especializados </w:t>
            </w:r>
            <w:r w:rsidR="00626782"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que se presenta a los Institutos Nacionales de Salud y Hospitales de Alta </w:t>
            </w:r>
          </w:p>
          <w:p w:rsidR="00E23603" w:rsidRPr="00176BC9" w:rsidRDefault="00626782" w:rsidP="0062678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Especialidad </w:t>
            </w:r>
            <w:r w:rsidR="00453870" w:rsidRPr="00176B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en coordinación con la red de servicios </w:t>
            </w:r>
          </w:p>
        </w:tc>
      </w:tr>
      <w:tr w:rsidR="00E23603" w:rsidRPr="00176BC9" w:rsidTr="00D67DA0">
        <w:tc>
          <w:tcPr>
            <w:tcW w:w="10235" w:type="dxa"/>
            <w:gridSpan w:val="24"/>
            <w:shd w:val="clear" w:color="auto" w:fill="FFCC99"/>
          </w:tcPr>
          <w:p w:rsidR="00E23603" w:rsidRPr="00176BC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76BC9" w:rsidTr="00D67DA0">
        <w:tc>
          <w:tcPr>
            <w:tcW w:w="4489" w:type="dxa"/>
            <w:gridSpan w:val="10"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48" w:type="dxa"/>
            <w:gridSpan w:val="5"/>
            <w:shd w:val="clear" w:color="auto" w:fill="auto"/>
          </w:tcPr>
          <w:p w:rsidR="00647733" w:rsidRPr="00176BC9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47733" w:rsidRPr="00176BC9" w:rsidTr="00D67DA0">
        <w:tc>
          <w:tcPr>
            <w:tcW w:w="4489" w:type="dxa"/>
            <w:gridSpan w:val="10"/>
            <w:shd w:val="clear" w:color="auto" w:fill="auto"/>
          </w:tcPr>
          <w:p w:rsidR="003E1C4E" w:rsidRPr="00176BC9" w:rsidRDefault="003E1C4E" w:rsidP="0017558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31949" w:rsidRPr="00176BC9" w:rsidRDefault="00C07B12" w:rsidP="0017558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Porcentaje de pacientes</w:t>
            </w:r>
            <w:r w:rsidR="00B12AF6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referidos 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por </w:t>
            </w:r>
          </w:p>
          <w:p w:rsidR="00653F03" w:rsidRPr="00176BC9" w:rsidRDefault="00C07B12" w:rsidP="00175587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instituciones públicas de salud</w:t>
            </w:r>
            <w:r w:rsidR="003B66B9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:rsidR="00653F03" w:rsidRPr="00176BC9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Pr="00176BC9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F97DF8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E5393"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507DF3" w:rsidRPr="00176BC9" w:rsidTr="00D67DA0">
        <w:tc>
          <w:tcPr>
            <w:tcW w:w="4489" w:type="dxa"/>
            <w:gridSpan w:val="10"/>
            <w:shd w:val="clear" w:color="auto" w:fill="auto"/>
          </w:tcPr>
          <w:p w:rsidR="00507DF3" w:rsidRPr="00176BC9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3E1C4E" w:rsidRPr="00176BC9" w:rsidRDefault="003E1C4E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176BC9" w:rsidRDefault="00926BB0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Efic</w:t>
            </w:r>
            <w:r w:rsidR="00174F2C" w:rsidRPr="00176BC9">
              <w:rPr>
                <w:rFonts w:ascii="Arial" w:hAnsi="Arial" w:cs="Arial"/>
                <w:bCs/>
                <w:sz w:val="20"/>
                <w:szCs w:val="20"/>
              </w:rPr>
              <w:t>iencia</w:t>
            </w:r>
          </w:p>
          <w:p w:rsidR="00507DF3" w:rsidRPr="00176BC9" w:rsidRDefault="00507DF3" w:rsidP="00FF5AE4">
            <w:pPr>
              <w:tabs>
                <w:tab w:val="num" w:pos="540"/>
              </w:tabs>
              <w:ind w:right="-468" w:firstLine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76BC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shd w:val="clear" w:color="auto" w:fill="auto"/>
          </w:tcPr>
          <w:p w:rsidR="00C61807" w:rsidRPr="00176BC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176BC9" w:rsidRDefault="00272E74" w:rsidP="00272E74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336" w:rsidRPr="00176BC9" w:rsidRDefault="000B3B1E" w:rsidP="00E84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>Este indicador tiene como propósito evaluar</w:t>
            </w:r>
            <w:r w:rsidR="000B36C8" w:rsidRPr="00176BC9">
              <w:rPr>
                <w:rFonts w:ascii="Arial" w:hAnsi="Arial" w:cs="Arial"/>
                <w:sz w:val="20"/>
                <w:szCs w:val="20"/>
              </w:rPr>
              <w:t xml:space="preserve"> la correcta referencia de los pacientes por parte de la red de servicios de salud para que </w:t>
            </w:r>
            <w:r w:rsidR="00BE4951" w:rsidRPr="00176BC9">
              <w:rPr>
                <w:rFonts w:ascii="Arial" w:hAnsi="Arial" w:cs="Arial"/>
                <w:sz w:val="20"/>
                <w:szCs w:val="20"/>
              </w:rPr>
              <w:t xml:space="preserve"> el otorgamiento efectivo de </w:t>
            </w:r>
            <w:r w:rsidRPr="00176BC9">
              <w:rPr>
                <w:rFonts w:ascii="Arial" w:hAnsi="Arial" w:cs="Arial"/>
                <w:sz w:val="20"/>
                <w:szCs w:val="20"/>
              </w:rPr>
              <w:t>atención médica de acuerdo a la complejidad del padecimiento.</w:t>
            </w:r>
          </w:p>
          <w:p w:rsidR="000B3B1E" w:rsidRPr="00176BC9" w:rsidRDefault="000B3B1E" w:rsidP="00272E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DF3" w:rsidRPr="00176BC9" w:rsidTr="00D67DA0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176BC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3E1C4E" w:rsidRPr="00176BC9" w:rsidRDefault="003E1C4E" w:rsidP="00E50D6A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521C3" w:rsidRPr="00176BC9" w:rsidRDefault="006B2BB8" w:rsidP="0091138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:rsidR="006B2BB8" w:rsidRPr="00176BC9" w:rsidRDefault="006B2BB8" w:rsidP="0091138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:rsidR="00F01737" w:rsidRPr="00176BC9" w:rsidRDefault="006B2BB8" w:rsidP="0091138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periodo </w:t>
            </w:r>
            <w:r w:rsidR="00F01737" w:rsidRPr="00176BC9">
              <w:rPr>
                <w:rFonts w:ascii="Arial" w:hAnsi="Arial" w:cs="Arial"/>
                <w:bCs/>
                <w:sz w:val="20"/>
                <w:szCs w:val="20"/>
              </w:rPr>
              <w:t xml:space="preserve">de evaluación 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/ </w:t>
            </w:r>
            <w:r w:rsidR="00AC5900" w:rsidRPr="00176BC9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otal de pacientes a los </w:t>
            </w:r>
          </w:p>
          <w:p w:rsidR="00F01737" w:rsidRPr="00176BC9" w:rsidRDefault="006B2BB8" w:rsidP="0091138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cuales se</w:t>
            </w:r>
            <w:r w:rsidR="00F01737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les apertura expediente clínico en el </w:t>
            </w:r>
          </w:p>
          <w:p w:rsidR="006B2BB8" w:rsidRPr="00176BC9" w:rsidRDefault="006B2BB8" w:rsidP="00E84EFC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periodo</w:t>
            </w:r>
            <w:r w:rsidR="00F96196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1737" w:rsidRPr="00176BC9">
              <w:rPr>
                <w:rFonts w:ascii="Arial" w:hAnsi="Arial" w:cs="Arial"/>
                <w:bCs/>
                <w:sz w:val="20"/>
                <w:szCs w:val="20"/>
              </w:rPr>
              <w:t xml:space="preserve">de evaluación </w:t>
            </w:r>
            <w:r w:rsidR="00F96196" w:rsidRPr="00176BC9">
              <w:rPr>
                <w:rFonts w:ascii="Arial" w:hAnsi="Arial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76BC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76BC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3E1C4E" w:rsidRPr="00176BC9" w:rsidRDefault="003E1C4E" w:rsidP="00D901A0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176BC9" w:rsidRDefault="001939E4" w:rsidP="00D901A0">
            <w:pPr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 xml:space="preserve">Porcentaje </w:t>
            </w:r>
          </w:p>
          <w:p w:rsidR="0094713F" w:rsidRPr="00176BC9" w:rsidRDefault="0094713F" w:rsidP="00D901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733" w:rsidRPr="00176BC9" w:rsidTr="00D67DA0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RPr="00176BC9" w:rsidTr="00D67DA0">
        <w:tc>
          <w:tcPr>
            <w:tcW w:w="448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176BC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176BC9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76BC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1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76BC9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D576E" w:rsidRPr="00176BC9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76BC9" w:rsidTr="00D67DA0">
        <w:tc>
          <w:tcPr>
            <w:tcW w:w="10235" w:type="dxa"/>
            <w:gridSpan w:val="24"/>
            <w:shd w:val="clear" w:color="auto" w:fill="FFCC99"/>
          </w:tcPr>
          <w:p w:rsidR="004C04C3" w:rsidRPr="00176BC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76BC9" w:rsidTr="00D67DA0">
        <w:tc>
          <w:tcPr>
            <w:tcW w:w="1069" w:type="dxa"/>
            <w:gridSpan w:val="2"/>
            <w:shd w:val="clear" w:color="auto" w:fill="auto"/>
          </w:tcPr>
          <w:p w:rsidR="0053138B" w:rsidRPr="00176BC9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176BC9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173BAC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76BC9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173BAC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:rsidR="0053138B" w:rsidRPr="00176BC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gridSpan w:val="8"/>
            <w:shd w:val="clear" w:color="auto" w:fill="auto"/>
          </w:tcPr>
          <w:p w:rsidR="0053138B" w:rsidRPr="00176BC9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="00173BAC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76BC9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53138B" w:rsidRPr="00176BC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76BC9" w:rsidTr="00D67DA0">
        <w:tc>
          <w:tcPr>
            <w:tcW w:w="1069" w:type="dxa"/>
            <w:gridSpan w:val="2"/>
            <w:shd w:val="clear" w:color="auto" w:fill="auto"/>
            <w:vAlign w:val="center"/>
          </w:tcPr>
          <w:p w:rsidR="0053138B" w:rsidRPr="00176BC9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176BC9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76BC9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:rsidR="0053138B" w:rsidRPr="00176BC9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4" w:type="dxa"/>
            <w:gridSpan w:val="8"/>
            <w:shd w:val="clear" w:color="auto" w:fill="auto"/>
            <w:vAlign w:val="center"/>
          </w:tcPr>
          <w:p w:rsidR="0053138B" w:rsidRPr="00176BC9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76BC9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53138B" w:rsidRPr="00176BC9" w:rsidRDefault="00F12B2F" w:rsidP="00BF286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       </w:t>
            </w:r>
            <w:r w:rsidR="00BF286A" w:rsidRPr="00176BC9">
              <w:rPr>
                <w:rFonts w:ascii="Arial" w:hAnsi="Arial" w:cs="Arial"/>
                <w:bCs/>
                <w:sz w:val="20"/>
                <w:szCs w:val="20"/>
              </w:rPr>
              <w:t>Si</w:t>
            </w:r>
          </w:p>
        </w:tc>
      </w:tr>
      <w:tr w:rsidR="00171537" w:rsidRPr="00176BC9" w:rsidTr="00D67DA0">
        <w:tc>
          <w:tcPr>
            <w:tcW w:w="10235" w:type="dxa"/>
            <w:gridSpan w:val="24"/>
            <w:shd w:val="clear" w:color="auto" w:fill="auto"/>
          </w:tcPr>
          <w:p w:rsidR="00171537" w:rsidRPr="00176BC9" w:rsidRDefault="00171537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A5546" w:rsidRPr="00176BC9" w:rsidRDefault="00BF286A" w:rsidP="0082147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="00BE4951" w:rsidRPr="00176B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E4951" w:rsidRPr="00176BC9">
              <w:rPr>
                <w:rFonts w:ascii="Arial" w:hAnsi="Arial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</w:p>
          <w:p w:rsidR="00BE4951" w:rsidRPr="00176BC9" w:rsidRDefault="008A5546" w:rsidP="0082147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  <w:proofErr w:type="gramStart"/>
            <w:r w:rsidRPr="00176BC9">
              <w:rPr>
                <w:rFonts w:ascii="Arial" w:hAnsi="Arial" w:cs="Arial"/>
                <w:bCs/>
                <w:sz w:val="18"/>
                <w:szCs w:val="18"/>
              </w:rPr>
              <w:t>fomentar</w:t>
            </w:r>
            <w:proofErr w:type="gramEnd"/>
            <w:r w:rsidR="00BE4951" w:rsidRPr="00176BC9">
              <w:rPr>
                <w:rFonts w:ascii="Arial" w:hAnsi="Arial" w:cs="Arial"/>
                <w:bCs/>
                <w:sz w:val="18"/>
                <w:szCs w:val="18"/>
              </w:rPr>
              <w:t xml:space="preserve"> la atención oportuna de los pacientes. </w:t>
            </w: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C5706" w:rsidRPr="00176BC9">
              <w:rPr>
                <w:rFonts w:ascii="Arial" w:hAnsi="Arial" w:cs="Arial"/>
                <w:bCs/>
                <w:sz w:val="18"/>
                <w:szCs w:val="18"/>
              </w:rPr>
              <w:t xml:space="preserve">La información base del indicador </w:t>
            </w:r>
            <w:r w:rsidRPr="00176BC9">
              <w:rPr>
                <w:rFonts w:ascii="Arial" w:hAnsi="Arial" w:cs="Arial"/>
                <w:bCs/>
                <w:sz w:val="18"/>
                <w:szCs w:val="18"/>
              </w:rPr>
              <w:t>está presente en los sistemas de información institucionales</w:t>
            </w: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F286A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76BC9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E7B01" w:rsidRPr="00176BC9" w:rsidRDefault="005E7B01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A5546" w:rsidRPr="00176BC9" w:rsidRDefault="00BF286A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Adecuado: </w:t>
            </w:r>
            <w:r w:rsidRPr="00176BC9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176BC9">
              <w:rPr>
                <w:rFonts w:ascii="Arial" w:hAnsi="Arial" w:cs="Arial"/>
                <w:bCs/>
                <w:sz w:val="18"/>
                <w:szCs w:val="18"/>
              </w:rPr>
              <w:t xml:space="preserve"> a la adecuada referencia de pacientes en el</w:t>
            </w:r>
          </w:p>
          <w:p w:rsidR="00BF286A" w:rsidRPr="00176BC9" w:rsidRDefault="00964718" w:rsidP="00BF286A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A5546" w:rsidRPr="00176BC9">
              <w:rPr>
                <w:rFonts w:ascii="Arial" w:hAnsi="Arial" w:cs="Arial"/>
                <w:bCs/>
                <w:sz w:val="18"/>
                <w:szCs w:val="18"/>
              </w:rPr>
              <w:t xml:space="preserve">                   </w:t>
            </w:r>
            <w:proofErr w:type="gramStart"/>
            <w:r w:rsidRPr="00176BC9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proofErr w:type="gramEnd"/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de salud</w:t>
            </w:r>
            <w:r w:rsidR="008A5546" w:rsidRPr="00176BC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6B1598" w:rsidRPr="00176BC9" w:rsidRDefault="006B1598" w:rsidP="005E7B0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A5546" w:rsidRPr="00176BC9" w:rsidRDefault="00BF286A" w:rsidP="005E7B0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E7B01" w:rsidRPr="00176BC9">
              <w:rPr>
                <w:rFonts w:ascii="Arial" w:hAnsi="Arial" w:cs="Arial"/>
                <w:bCs/>
                <w:sz w:val="18"/>
                <w:szCs w:val="18"/>
              </w:rPr>
              <w:t>Permite evaluar de manera indirecta el uso adecuado de los servicios públicos de salud de acuerdo al nivel</w:t>
            </w:r>
          </w:p>
          <w:p w:rsidR="005E7B01" w:rsidRPr="00176BC9" w:rsidRDefault="005E7B01" w:rsidP="005E7B0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18"/>
                <w:szCs w:val="18"/>
              </w:rPr>
            </w:pPr>
            <w:r w:rsidRPr="00176BC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A5546" w:rsidRPr="00176BC9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proofErr w:type="gramStart"/>
            <w:r w:rsidRPr="00176BC9">
              <w:rPr>
                <w:rFonts w:ascii="Arial" w:hAnsi="Arial" w:cs="Arial"/>
                <w:bCs/>
                <w:sz w:val="18"/>
                <w:szCs w:val="18"/>
              </w:rPr>
              <w:t>resolutivo</w:t>
            </w:r>
            <w:proofErr w:type="gramEnd"/>
            <w:r w:rsidR="008A5546" w:rsidRPr="00176BC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AC5900" w:rsidRPr="00176BC9" w:rsidRDefault="00AC5900" w:rsidP="00CE5AEC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RPr="00176BC9" w:rsidTr="00D67DA0">
        <w:tc>
          <w:tcPr>
            <w:tcW w:w="10235" w:type="dxa"/>
            <w:gridSpan w:val="24"/>
            <w:shd w:val="clear" w:color="auto" w:fill="auto"/>
          </w:tcPr>
          <w:p w:rsidR="005E6741" w:rsidRPr="00176BC9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D38B9" w:rsidRPr="00176BC9">
              <w:rPr>
                <w:rFonts w:ascii="Arial" w:hAnsi="Arial" w:cs="Arial"/>
                <w:bCs/>
                <w:sz w:val="20"/>
                <w:szCs w:val="20"/>
              </w:rPr>
              <w:t>2015</w:t>
            </w:r>
            <w:r w:rsidR="002B6294" w:rsidRPr="00176BC9">
              <w:rPr>
                <w:rFonts w:ascii="Arial" w:hAnsi="Arial" w:cs="Arial"/>
                <w:bCs/>
                <w:sz w:val="20"/>
                <w:szCs w:val="20"/>
              </w:rPr>
              <w:t>, 2016</w:t>
            </w:r>
            <w:r w:rsidR="00E55F62" w:rsidRPr="00176BC9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0364B4" w:rsidRPr="00B7264F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32654" w:rsidRPr="00B726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364B4" w:rsidRPr="00B7264F">
              <w:rPr>
                <w:rFonts w:ascii="Arial" w:hAnsi="Arial" w:cs="Arial"/>
                <w:bCs/>
                <w:sz w:val="20"/>
                <w:szCs w:val="20"/>
              </w:rPr>
              <w:t>2018</w:t>
            </w:r>
          </w:p>
        </w:tc>
      </w:tr>
      <w:tr w:rsidR="00AA719A" w:rsidRPr="00176BC9" w:rsidTr="00D67DA0"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5E6741" w:rsidRPr="00176BC9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51B9" w:rsidRPr="00176BC9">
              <w:rPr>
                <w:rFonts w:ascii="Arial" w:hAnsi="Arial" w:cs="Arial"/>
                <w:bCs/>
                <w:sz w:val="20"/>
                <w:szCs w:val="20"/>
              </w:rPr>
              <w:t>CCINSHAE</w:t>
            </w:r>
            <w:r w:rsidR="00F47751" w:rsidRPr="00176BC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AC5900" w:rsidRPr="00176BC9">
              <w:rPr>
                <w:rFonts w:ascii="Arial" w:hAnsi="Arial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176BC9" w:rsidTr="00D67DA0">
        <w:tc>
          <w:tcPr>
            <w:tcW w:w="10235" w:type="dxa"/>
            <w:gridSpan w:val="24"/>
            <w:shd w:val="clear" w:color="auto" w:fill="FFCC99"/>
          </w:tcPr>
          <w:p w:rsidR="00712663" w:rsidRPr="00176BC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76BC9" w:rsidTr="00D67DA0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270110" w:rsidRPr="00176BC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76BC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176BC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76BC9" w:rsidTr="00D67DA0">
        <w:trPr>
          <w:trHeight w:val="274"/>
        </w:trPr>
        <w:tc>
          <w:tcPr>
            <w:tcW w:w="851" w:type="dxa"/>
            <w:shd w:val="clear" w:color="auto" w:fill="auto"/>
          </w:tcPr>
          <w:p w:rsidR="00013FE4" w:rsidRPr="00176BC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996DCB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176BC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176BC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76BC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176BC9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 w:rsidR="00D671DA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013FE4" w:rsidRPr="00176BC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C5900" w:rsidRPr="00176BC9" w:rsidTr="00D67DA0">
        <w:trPr>
          <w:trHeight w:val="274"/>
        </w:trPr>
        <w:tc>
          <w:tcPr>
            <w:tcW w:w="851" w:type="dxa"/>
            <w:shd w:val="clear" w:color="auto" w:fill="auto"/>
            <w:vAlign w:val="center"/>
          </w:tcPr>
          <w:p w:rsidR="00AC5900" w:rsidRPr="00176BC9" w:rsidRDefault="00AC5900" w:rsidP="00AC5900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5900" w:rsidRPr="00176BC9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AC5900" w:rsidRPr="00176BC9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roofErr w:type="spellStart"/>
            <w:r w:rsidRPr="00176BC9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Pr="00176BC9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Pr="00176BC9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Pr="00176BC9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5900" w:rsidRPr="00176BC9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AC5900" w:rsidRPr="00176BC9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22" w:type="dxa"/>
            <w:gridSpan w:val="4"/>
            <w:shd w:val="clear" w:color="auto" w:fill="auto"/>
          </w:tcPr>
          <w:p w:rsidR="00AC5900" w:rsidRPr="00176BC9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76BC9">
              <w:rPr>
                <w:rFonts w:ascii="Arial" w:hAnsi="Arial" w:cs="Arial"/>
                <w:bCs/>
                <w:sz w:val="20"/>
                <w:szCs w:val="20"/>
              </w:rPr>
              <w:t>Mzo</w:t>
            </w:r>
            <w:proofErr w:type="spellEnd"/>
            <w:r w:rsidRPr="00176BC9">
              <w:rPr>
                <w:rFonts w:ascii="Arial" w:hAnsi="Arial" w:cs="Arial"/>
                <w:bCs/>
                <w:sz w:val="20"/>
                <w:szCs w:val="20"/>
              </w:rPr>
              <w:t>-Jun-</w:t>
            </w:r>
            <w:proofErr w:type="spellStart"/>
            <w:r w:rsidRPr="00176BC9">
              <w:rPr>
                <w:rFonts w:ascii="Arial" w:hAnsi="Arial" w:cs="Arial"/>
                <w:bCs/>
                <w:sz w:val="20"/>
                <w:szCs w:val="20"/>
              </w:rPr>
              <w:t>Sep</w:t>
            </w:r>
            <w:proofErr w:type="spellEnd"/>
            <w:r w:rsidRPr="00176BC9">
              <w:rPr>
                <w:rFonts w:ascii="Arial" w:hAnsi="Arial" w:cs="Arial"/>
                <w:bCs/>
                <w:sz w:val="20"/>
                <w:szCs w:val="20"/>
              </w:rPr>
              <w:t>-Dic</w:t>
            </w:r>
          </w:p>
        </w:tc>
      </w:tr>
      <w:tr w:rsidR="00270110" w:rsidRPr="00176BC9" w:rsidTr="00D67DA0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760043" w:rsidRPr="00176BC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76BC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62" w:type="dxa"/>
            <w:gridSpan w:val="11"/>
            <w:shd w:val="clear" w:color="auto" w:fill="auto"/>
          </w:tcPr>
          <w:p w:rsidR="00270110" w:rsidRPr="00176BC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76BC9" w:rsidTr="00D67DA0">
        <w:trPr>
          <w:trHeight w:val="274"/>
        </w:trPr>
        <w:tc>
          <w:tcPr>
            <w:tcW w:w="4537" w:type="dxa"/>
            <w:gridSpan w:val="11"/>
            <w:shd w:val="clear" w:color="auto" w:fill="auto"/>
          </w:tcPr>
          <w:p w:rsidR="00D5103F" w:rsidRPr="00176BC9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76BC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76BC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D5103F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76BC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29" w:type="dxa"/>
            <w:shd w:val="clear" w:color="auto" w:fill="auto"/>
          </w:tcPr>
          <w:p w:rsidR="00D5103F" w:rsidRPr="00176BC9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176BC9" w:rsidTr="00D67DA0">
        <w:trPr>
          <w:trHeight w:val="274"/>
        </w:trPr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B11BE1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95% &lt;</w:t>
            </w:r>
            <w:r w:rsidRPr="00176BC9">
              <w:rPr>
                <w:rFonts w:ascii="Arial" w:hAnsi="Arial" w:cs="Arial"/>
                <w:bCs/>
                <w:sz w:val="18"/>
                <w:szCs w:val="20"/>
              </w:rPr>
              <w:t>=</w:t>
            </w:r>
            <w:r w:rsidRPr="00176BC9">
              <w:rPr>
                <w:rFonts w:ascii="Arial" w:hAnsi="Arial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B11BE1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90%&lt;=X&lt; 95%</w:t>
            </w:r>
          </w:p>
          <w:p w:rsidR="00B11BE1" w:rsidRPr="00176BC9" w:rsidRDefault="00B11BE1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ó </w:t>
            </w:r>
          </w:p>
          <w:p w:rsidR="00B11BE1" w:rsidRPr="00176BC9" w:rsidRDefault="00B11BE1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</w:tcPr>
          <w:p w:rsidR="00B11BE1" w:rsidRPr="00176BC9" w:rsidRDefault="00A73178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="00B11BE1" w:rsidRPr="00176BC9">
              <w:rPr>
                <w:rFonts w:ascii="Arial" w:hAnsi="Arial" w:cs="Arial"/>
                <w:bCs/>
                <w:sz w:val="20"/>
                <w:szCs w:val="20"/>
              </w:rPr>
              <w:t>X&lt;90%</w:t>
            </w:r>
          </w:p>
          <w:p w:rsidR="00B11BE1" w:rsidRPr="00176BC9" w:rsidRDefault="00A73178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B11BE1" w:rsidRPr="00176BC9">
              <w:rPr>
                <w:rFonts w:ascii="Arial" w:hAnsi="Arial" w:cs="Arial"/>
                <w:bCs/>
                <w:sz w:val="20"/>
                <w:szCs w:val="20"/>
              </w:rPr>
              <w:t>ó</w:t>
            </w:r>
            <w:proofErr w:type="spellEnd"/>
          </w:p>
          <w:p w:rsidR="00B11BE1" w:rsidRPr="00176BC9" w:rsidRDefault="00A73178" w:rsidP="00B11B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="00B11BE1" w:rsidRPr="00176BC9">
              <w:rPr>
                <w:rFonts w:ascii="Arial" w:hAnsi="Arial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176BC9" w:rsidTr="00D67DA0">
        <w:trPr>
          <w:trHeight w:val="274"/>
        </w:trPr>
        <w:tc>
          <w:tcPr>
            <w:tcW w:w="10235" w:type="dxa"/>
            <w:gridSpan w:val="24"/>
            <w:tcBorders>
              <w:bottom w:val="single" w:sz="4" w:space="0" w:color="auto"/>
            </w:tcBorders>
            <w:shd w:val="clear" w:color="auto" w:fill="FFCC99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176BC9" w:rsidTr="00D67DA0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176BC9" w:rsidTr="00D67DA0">
        <w:trPr>
          <w:trHeight w:val="148"/>
        </w:trPr>
        <w:tc>
          <w:tcPr>
            <w:tcW w:w="5209" w:type="dxa"/>
            <w:gridSpan w:val="15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176BC9" w:rsidTr="00D67DA0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E6381B" w:rsidRPr="00176BC9" w:rsidRDefault="00E6381B" w:rsidP="00E638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Número de pacientes que han sido referidos por </w:t>
            </w:r>
          </w:p>
          <w:p w:rsidR="00E6381B" w:rsidRPr="00176BC9" w:rsidRDefault="00E6381B" w:rsidP="00E638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instituciones públicas de salud a los cuales se les </w:t>
            </w:r>
          </w:p>
          <w:p w:rsidR="00AC5900" w:rsidRPr="00176BC9" w:rsidRDefault="00E6381B" w:rsidP="00E638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apertura expediente clínico institucional en el periodo </w:t>
            </w:r>
          </w:p>
          <w:p w:rsidR="00D671DA" w:rsidRPr="00176BC9" w:rsidRDefault="00AC5900" w:rsidP="00E6381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de evaluación</w:t>
            </w:r>
          </w:p>
          <w:p w:rsidR="00CE5AEC" w:rsidRPr="00176BC9" w:rsidRDefault="00CE5AE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V2</w:t>
            </w:r>
          </w:p>
          <w:p w:rsidR="00784FE8" w:rsidRPr="00176BC9" w:rsidRDefault="00784FE8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 xml:space="preserve">Total de pacientes a los cuales se les apertura </w:t>
            </w:r>
          </w:p>
          <w:p w:rsidR="001939E4" w:rsidRPr="00176BC9" w:rsidRDefault="00784FE8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expediente clínico en el periodo</w:t>
            </w:r>
            <w:r w:rsidR="00A73178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de evaluación</w:t>
            </w:r>
          </w:p>
          <w:p w:rsidR="00CE5AEC" w:rsidRPr="00176BC9" w:rsidRDefault="00CE5AEC" w:rsidP="00364E3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F01C0F">
            <w:pPr>
              <w:rPr>
                <w:rFonts w:ascii="Arial" w:hAnsi="Arial" w:cs="Arial"/>
                <w:sz w:val="20"/>
                <w:szCs w:val="20"/>
              </w:rPr>
            </w:pPr>
          </w:p>
          <w:p w:rsidR="00D671DA" w:rsidRPr="00176BC9" w:rsidRDefault="0082536A" w:rsidP="00F01C0F">
            <w:pPr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 xml:space="preserve">Expedientes clínicos </w:t>
            </w:r>
            <w:proofErr w:type="spellStart"/>
            <w:r w:rsidRPr="00176BC9">
              <w:rPr>
                <w:rFonts w:ascii="Arial" w:hAnsi="Arial" w:cs="Arial"/>
                <w:sz w:val="20"/>
                <w:szCs w:val="20"/>
              </w:rPr>
              <w:t>aperturados</w:t>
            </w:r>
            <w:proofErr w:type="spellEnd"/>
            <w:r w:rsidRPr="00176BC9">
              <w:rPr>
                <w:rFonts w:ascii="Arial" w:hAnsi="Arial" w:cs="Arial"/>
                <w:sz w:val="20"/>
                <w:szCs w:val="20"/>
              </w:rPr>
              <w:t xml:space="preserve"> en el periodo </w:t>
            </w:r>
            <w:r w:rsidR="00A73178" w:rsidRPr="00176BC9">
              <w:rPr>
                <w:rFonts w:ascii="Arial" w:hAnsi="Arial" w:cs="Arial"/>
                <w:sz w:val="20"/>
                <w:szCs w:val="20"/>
              </w:rPr>
              <w:t xml:space="preserve">de evaluación </w:t>
            </w:r>
            <w:r w:rsidRPr="00176BC9">
              <w:rPr>
                <w:rFonts w:ascii="Arial" w:hAnsi="Arial" w:cs="Arial"/>
                <w:sz w:val="20"/>
                <w:szCs w:val="20"/>
              </w:rPr>
              <w:t>con referencia de una institución pública de salud</w:t>
            </w:r>
          </w:p>
          <w:p w:rsidR="00D671DA" w:rsidRPr="00176BC9" w:rsidRDefault="00D671DA" w:rsidP="00F01C0F">
            <w:pPr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71DA" w:rsidRPr="00176BC9" w:rsidRDefault="00D671DA" w:rsidP="00C24EC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71DA" w:rsidRPr="00176BC9" w:rsidRDefault="00D671DA" w:rsidP="00C24EC2">
            <w:pPr>
              <w:rPr>
                <w:rFonts w:ascii="Arial" w:hAnsi="Arial" w:cs="Arial"/>
                <w:sz w:val="20"/>
                <w:szCs w:val="20"/>
              </w:rPr>
            </w:pPr>
          </w:p>
          <w:p w:rsidR="007E5A5A" w:rsidRPr="00176BC9" w:rsidRDefault="007E5A5A" w:rsidP="007E5A5A">
            <w:pPr>
              <w:tabs>
                <w:tab w:val="num" w:pos="0"/>
              </w:tabs>
              <w:ind w:right="-468"/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 xml:space="preserve">Total de expedientes clínicos </w:t>
            </w:r>
            <w:proofErr w:type="spellStart"/>
            <w:r w:rsidRPr="00176BC9">
              <w:rPr>
                <w:rFonts w:ascii="Arial" w:hAnsi="Arial" w:cs="Arial"/>
                <w:sz w:val="20"/>
                <w:szCs w:val="20"/>
              </w:rPr>
              <w:t>aperturados</w:t>
            </w:r>
            <w:proofErr w:type="spellEnd"/>
            <w:r w:rsidRPr="00176BC9">
              <w:rPr>
                <w:rFonts w:ascii="Arial" w:hAnsi="Arial" w:cs="Arial"/>
                <w:sz w:val="20"/>
                <w:szCs w:val="20"/>
              </w:rPr>
              <w:t xml:space="preserve"> en el </w:t>
            </w:r>
          </w:p>
          <w:p w:rsidR="00D671DA" w:rsidRPr="00176BC9" w:rsidRDefault="007E5A5A" w:rsidP="007E5A5A">
            <w:pPr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>periodo de evaluación</w:t>
            </w:r>
          </w:p>
        </w:tc>
      </w:tr>
      <w:tr w:rsidR="00D671DA" w:rsidRPr="00176BC9" w:rsidTr="00D67DA0">
        <w:trPr>
          <w:trHeight w:val="285"/>
        </w:trPr>
        <w:tc>
          <w:tcPr>
            <w:tcW w:w="5209" w:type="dxa"/>
            <w:gridSpan w:val="15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176BC9" w:rsidTr="00D67DA0">
        <w:trPr>
          <w:trHeight w:val="269"/>
        </w:trPr>
        <w:tc>
          <w:tcPr>
            <w:tcW w:w="5209" w:type="dxa"/>
            <w:gridSpan w:val="15"/>
            <w:shd w:val="clear" w:color="auto" w:fill="auto"/>
          </w:tcPr>
          <w:p w:rsidR="00332472" w:rsidRDefault="00332472" w:rsidP="000930A7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1602BF" w:rsidRDefault="003F7D1B" w:rsidP="000930A7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0930A7" w:rsidRPr="001602BF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160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1A51AE" w:rsidRPr="00160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1A51AE" w:rsidRPr="001602BF" w:rsidRDefault="001A51AE" w:rsidP="001A51A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>Porcentaje de pacientes referidos por instituciones</w:t>
            </w:r>
          </w:p>
          <w:p w:rsidR="00C75680" w:rsidRPr="001602BF" w:rsidRDefault="001A51AE" w:rsidP="001A51A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 xml:space="preserve">públicas de salud a los que se les apertura expediente </w:t>
            </w:r>
          </w:p>
          <w:p w:rsidR="0089311D" w:rsidRPr="001602BF" w:rsidRDefault="001A51AE" w:rsidP="003A60C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>clínico institucional</w:t>
            </w:r>
            <w:r w:rsidR="006306FA" w:rsidRPr="001602B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6306FA" w:rsidRDefault="000930A7" w:rsidP="00332472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332472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pacientes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referidos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instituciones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 w:rsidR="00A83795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blicas</w:t>
            </w:r>
            <w:proofErr w:type="spellEnd"/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_</w:t>
            </w:r>
            <w:proofErr w:type="spellStart"/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salud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los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que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se</w:t>
            </w:r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les</w:t>
            </w:r>
            <w:proofErr w:type="spellEnd"/>
            <w:r w:rsidR="006306FA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332472" w:rsidRPr="00332472" w:rsidRDefault="006306FA" w:rsidP="0033247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pertura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expediente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nico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332472"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institucional</w:t>
            </w:r>
            <w:proofErr w:type="spellEnd"/>
          </w:p>
          <w:p w:rsidR="000930A7" w:rsidRPr="000930A7" w:rsidRDefault="000930A7" w:rsidP="000930A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3A60CB" w:rsidRPr="00571D4B" w:rsidRDefault="000930A7" w:rsidP="00DE207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671DA" w:rsidRPr="00176BC9" w:rsidRDefault="0052306D" w:rsidP="00D86DD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Paciente</w:t>
            </w:r>
            <w:r w:rsidR="004279CB" w:rsidRPr="00176BC9">
              <w:rPr>
                <w:rFonts w:ascii="Arial" w:hAnsi="Arial" w:cs="Arial"/>
                <w:bCs/>
                <w:sz w:val="20"/>
                <w:szCs w:val="20"/>
              </w:rPr>
              <w:t xml:space="preserve"> de primera vez referido</w:t>
            </w:r>
          </w:p>
        </w:tc>
      </w:tr>
      <w:tr w:rsidR="0089311D" w:rsidRPr="00176BC9" w:rsidTr="00D67DA0">
        <w:trPr>
          <w:trHeight w:val="272"/>
        </w:trPr>
        <w:tc>
          <w:tcPr>
            <w:tcW w:w="5209" w:type="dxa"/>
            <w:gridSpan w:val="15"/>
            <w:shd w:val="clear" w:color="auto" w:fill="auto"/>
          </w:tcPr>
          <w:p w:rsidR="00DE2076" w:rsidRDefault="00DE2076" w:rsidP="000930A7">
            <w:pPr>
              <w:ind w:right="-46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1602BF" w:rsidRDefault="003F7D1B" w:rsidP="000930A7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0930A7" w:rsidRPr="001602BF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160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1A51AE" w:rsidRPr="001602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desempeño MIR E023. </w:t>
            </w:r>
          </w:p>
          <w:p w:rsidR="001A51AE" w:rsidRPr="001602BF" w:rsidRDefault="001A51AE" w:rsidP="001A51A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 xml:space="preserve">Porcentaje de pacientes referidos por instituciones </w:t>
            </w:r>
          </w:p>
          <w:p w:rsidR="001A51AE" w:rsidRPr="001602BF" w:rsidRDefault="001A51AE" w:rsidP="001A51A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 xml:space="preserve">públicas de salud a los que se les apertura expediente </w:t>
            </w:r>
          </w:p>
          <w:p w:rsidR="0089311D" w:rsidRPr="001602BF" w:rsidRDefault="001A51AE" w:rsidP="003A60CB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1602BF">
              <w:rPr>
                <w:rFonts w:ascii="Arial" w:hAnsi="Arial" w:cs="Arial"/>
                <w:bCs/>
                <w:sz w:val="20"/>
                <w:szCs w:val="20"/>
              </w:rPr>
              <w:t>clínico institucional</w:t>
            </w:r>
          </w:p>
          <w:p w:rsidR="00A85EC2" w:rsidRDefault="00A85EC2" w:rsidP="00A85EC2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332472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.gob.mx/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DCPE/E023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pacientes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referidos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por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instituciones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u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blicas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 xml:space="preserve"> _</w:t>
            </w: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salud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que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se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les</w:t>
            </w:r>
            <w:proofErr w:type="spellEnd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A85EC2" w:rsidRPr="00332472" w:rsidRDefault="00A85EC2" w:rsidP="00A85EC2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pertura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expediente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cl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nico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332472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institucional</w:t>
            </w:r>
            <w:proofErr w:type="spellEnd"/>
          </w:p>
          <w:p w:rsidR="000930A7" w:rsidRPr="000930A7" w:rsidRDefault="000930A7" w:rsidP="000930A7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Responsable Operativo: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Ing.</w:t>
            </w: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 xml:space="preserve"> 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Rubén Rivera Martínez</w:t>
            </w:r>
          </w:p>
          <w:p w:rsidR="003A60CB" w:rsidRPr="00571D4B" w:rsidRDefault="000930A7" w:rsidP="00DE2076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color w:val="FF0000"/>
                <w:sz w:val="19"/>
                <w:szCs w:val="19"/>
              </w:rPr>
            </w:pPr>
            <w:r w:rsidRPr="000930A7"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  <w:t>Responsable Directivo:</w:t>
            </w:r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Dr. Simón </w:t>
            </w:r>
            <w:proofErr w:type="spellStart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>Kawa</w:t>
            </w:r>
            <w:proofErr w:type="spellEnd"/>
            <w:r w:rsidRPr="000930A7">
              <w:rPr>
                <w:rFonts w:ascii="Arial" w:hAnsi="Arial" w:cs="Arial"/>
                <w:bCs/>
                <w:color w:val="FF0000"/>
                <w:sz w:val="19"/>
                <w:szCs w:val="19"/>
              </w:rPr>
              <w:t xml:space="preserve"> Karasik</w:t>
            </w:r>
          </w:p>
        </w:tc>
        <w:tc>
          <w:tcPr>
            <w:tcW w:w="236" w:type="dxa"/>
            <w:vMerge/>
            <w:shd w:val="clear" w:color="auto" w:fill="auto"/>
          </w:tcPr>
          <w:p w:rsidR="0089311D" w:rsidRPr="00176BC9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89311D" w:rsidRPr="00176BC9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9311D" w:rsidRPr="00176BC9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Paciente de primera vez</w:t>
            </w:r>
          </w:p>
        </w:tc>
      </w:tr>
      <w:tr w:rsidR="00D671DA" w:rsidRPr="00176BC9" w:rsidTr="00D67DA0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176BC9" w:rsidTr="00D67DA0">
        <w:trPr>
          <w:trHeight w:val="483"/>
        </w:trPr>
        <w:tc>
          <w:tcPr>
            <w:tcW w:w="5209" w:type="dxa"/>
            <w:gridSpan w:val="15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Cs/>
                <w:sz w:val="20"/>
                <w:szCs w:val="20"/>
              </w:rPr>
              <w:t>Explotación de registro administrativo</w:t>
            </w:r>
            <w:bookmarkStart w:id="0" w:name="_GoBack"/>
            <w:bookmarkEnd w:id="0"/>
          </w:p>
        </w:tc>
        <w:tc>
          <w:tcPr>
            <w:tcW w:w="236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0" w:type="dxa"/>
            <w:gridSpan w:val="8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D671DA" w:rsidRPr="00176BC9" w:rsidRDefault="000364B4" w:rsidP="00E55F62">
            <w:pPr>
              <w:rPr>
                <w:rFonts w:ascii="Arial" w:hAnsi="Arial" w:cs="Arial"/>
                <w:sz w:val="20"/>
                <w:szCs w:val="20"/>
              </w:rPr>
            </w:pPr>
            <w:r w:rsidRPr="00176BC9">
              <w:rPr>
                <w:rFonts w:ascii="Arial" w:hAnsi="Arial" w:cs="Arial"/>
                <w:sz w:val="20"/>
                <w:szCs w:val="20"/>
              </w:rPr>
              <w:t>Marzo 2020</w:t>
            </w:r>
            <w:r w:rsidR="00D671DA" w:rsidRPr="00176BC9">
              <w:rPr>
                <w:rFonts w:ascii="Arial" w:hAnsi="Arial" w:cs="Arial"/>
                <w:sz w:val="20"/>
                <w:szCs w:val="20"/>
              </w:rPr>
              <w:t xml:space="preserve"> (Definitivo)</w:t>
            </w:r>
          </w:p>
        </w:tc>
      </w:tr>
      <w:tr w:rsidR="00D671DA" w:rsidRPr="00176BC9" w:rsidTr="00D67DA0">
        <w:trPr>
          <w:trHeight w:val="274"/>
        </w:trPr>
        <w:tc>
          <w:tcPr>
            <w:tcW w:w="10235" w:type="dxa"/>
            <w:gridSpan w:val="24"/>
            <w:shd w:val="clear" w:color="auto" w:fill="FFCC99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176BC9" w:rsidTr="00D67DA0">
        <w:trPr>
          <w:trHeight w:val="366"/>
        </w:trPr>
        <w:tc>
          <w:tcPr>
            <w:tcW w:w="3289" w:type="dxa"/>
            <w:gridSpan w:val="6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7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176BC9" w:rsidTr="00D67DA0">
        <w:trPr>
          <w:trHeight w:val="235"/>
        </w:trPr>
        <w:tc>
          <w:tcPr>
            <w:tcW w:w="3289" w:type="dxa"/>
            <w:gridSpan w:val="6"/>
            <w:shd w:val="clear" w:color="auto" w:fill="auto"/>
          </w:tcPr>
          <w:p w:rsidR="0089311D" w:rsidRPr="00176BC9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1" w:type="dxa"/>
            <w:gridSpan w:val="17"/>
            <w:shd w:val="clear" w:color="auto" w:fill="auto"/>
          </w:tcPr>
          <w:p w:rsidR="00D671DA" w:rsidRPr="00176BC9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671DA" w:rsidTr="00D67DA0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D671DA" w:rsidRPr="000A24E1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6BC9">
              <w:rPr>
                <w:rFonts w:ascii="Arial" w:hAnsi="Arial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Tr="00D67DA0">
        <w:trPr>
          <w:trHeight w:val="189"/>
        </w:trPr>
        <w:tc>
          <w:tcPr>
            <w:tcW w:w="10235" w:type="dxa"/>
            <w:gridSpan w:val="24"/>
            <w:shd w:val="clear" w:color="auto" w:fill="auto"/>
          </w:tcPr>
          <w:p w:rsidR="00E70E2E" w:rsidRPr="000A24E1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671DA" w:rsidTr="00D67DA0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D671DA" w:rsidRPr="000A24E1" w:rsidRDefault="00E84EF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D671DA" w:rsidTr="00D67DA0">
        <w:trPr>
          <w:trHeight w:val="274"/>
        </w:trPr>
        <w:tc>
          <w:tcPr>
            <w:tcW w:w="10235" w:type="dxa"/>
            <w:gridSpan w:val="24"/>
            <w:shd w:val="clear" w:color="auto" w:fill="auto"/>
          </w:tcPr>
          <w:p w:rsidR="00E84EFC" w:rsidRDefault="00E84EFC" w:rsidP="004279CB">
            <w:pPr>
              <w:tabs>
                <w:tab w:val="num" w:pos="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45958" w:rsidRDefault="004279CB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84E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Expedientes </w:t>
            </w:r>
            <w:proofErr w:type="spellStart"/>
            <w:r w:rsidRPr="00E84EFC">
              <w:rPr>
                <w:rFonts w:ascii="Arial" w:hAnsi="Arial" w:cs="Arial"/>
                <w:b/>
                <w:bCs/>
                <w:sz w:val="20"/>
                <w:szCs w:val="20"/>
              </w:rPr>
              <w:t>aperturados</w:t>
            </w:r>
            <w:proofErr w:type="spellEnd"/>
            <w:r w:rsidRPr="004279CB">
              <w:rPr>
                <w:rFonts w:ascii="Arial" w:hAnsi="Arial" w:cs="Arial"/>
                <w:bCs/>
                <w:sz w:val="20"/>
                <w:szCs w:val="20"/>
              </w:rPr>
              <w:t xml:space="preserve"> se refiere a expedientes abiertos por primera vez a los pacientes referidos para otorgar servicios médicos en los Institutos Nacionales de Salud y Hospitales de Alta Especialidad</w:t>
            </w:r>
            <w:r w:rsidR="0096471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964718" w:rsidRDefault="00964718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32472" w:rsidRDefault="00332472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64718" w:rsidRDefault="00964718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32472" w:rsidRDefault="00332472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442" w:rsidRPr="000A24E1" w:rsidRDefault="006A7442" w:rsidP="00D67DA0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92259" w:rsidRDefault="00E92259" w:rsidP="00E55F62"/>
    <w:sectPr w:rsidR="00E92259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30A7"/>
    <w:rsid w:val="000950E6"/>
    <w:rsid w:val="00097AB4"/>
    <w:rsid w:val="000A0702"/>
    <w:rsid w:val="000A24E1"/>
    <w:rsid w:val="000B009A"/>
    <w:rsid w:val="000B0F78"/>
    <w:rsid w:val="000B36C8"/>
    <w:rsid w:val="000B3B1E"/>
    <w:rsid w:val="000B4337"/>
    <w:rsid w:val="000D0CA2"/>
    <w:rsid w:val="000D13B6"/>
    <w:rsid w:val="000D3ED4"/>
    <w:rsid w:val="000D4D17"/>
    <w:rsid w:val="000D7076"/>
    <w:rsid w:val="000E3CC9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4722D"/>
    <w:rsid w:val="001521C3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543F"/>
    <w:rsid w:val="00345B2D"/>
    <w:rsid w:val="00353BAB"/>
    <w:rsid w:val="00360965"/>
    <w:rsid w:val="00363FC2"/>
    <w:rsid w:val="00364109"/>
    <w:rsid w:val="0036446B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411EB"/>
    <w:rsid w:val="00541E9A"/>
    <w:rsid w:val="00542B83"/>
    <w:rsid w:val="005431FF"/>
    <w:rsid w:val="00543204"/>
    <w:rsid w:val="0054776D"/>
    <w:rsid w:val="00551C99"/>
    <w:rsid w:val="00555F07"/>
    <w:rsid w:val="005622EA"/>
    <w:rsid w:val="00571D4B"/>
    <w:rsid w:val="00571F91"/>
    <w:rsid w:val="005742BD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6EB7"/>
    <w:rsid w:val="005C058A"/>
    <w:rsid w:val="005C0D48"/>
    <w:rsid w:val="005C6150"/>
    <w:rsid w:val="005C65AB"/>
    <w:rsid w:val="005C75E1"/>
    <w:rsid w:val="005D37B2"/>
    <w:rsid w:val="005D5390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54AF"/>
    <w:rsid w:val="006E74AD"/>
    <w:rsid w:val="0071167C"/>
    <w:rsid w:val="007121EF"/>
    <w:rsid w:val="00712663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2452"/>
    <w:rsid w:val="008325CB"/>
    <w:rsid w:val="00832D2D"/>
    <w:rsid w:val="00844C48"/>
    <w:rsid w:val="00845DC8"/>
    <w:rsid w:val="0085068E"/>
    <w:rsid w:val="00856763"/>
    <w:rsid w:val="0086140F"/>
    <w:rsid w:val="008614CC"/>
    <w:rsid w:val="00861DF7"/>
    <w:rsid w:val="00862C8E"/>
    <w:rsid w:val="00864864"/>
    <w:rsid w:val="00871FFA"/>
    <w:rsid w:val="00874293"/>
    <w:rsid w:val="00876F0F"/>
    <w:rsid w:val="008802A5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E5635"/>
    <w:rsid w:val="008E5708"/>
    <w:rsid w:val="008E5A0B"/>
    <w:rsid w:val="008E621A"/>
    <w:rsid w:val="008E69F5"/>
    <w:rsid w:val="008F0067"/>
    <w:rsid w:val="008F00EE"/>
    <w:rsid w:val="008F0673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AAE"/>
    <w:rsid w:val="009869B1"/>
    <w:rsid w:val="009872CE"/>
    <w:rsid w:val="009905FC"/>
    <w:rsid w:val="00996DCB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25159"/>
    <w:rsid w:val="00B30307"/>
    <w:rsid w:val="00B42541"/>
    <w:rsid w:val="00B436FE"/>
    <w:rsid w:val="00B46336"/>
    <w:rsid w:val="00B521A2"/>
    <w:rsid w:val="00B53008"/>
    <w:rsid w:val="00B54E71"/>
    <w:rsid w:val="00B561B5"/>
    <w:rsid w:val="00B64FD1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A33AF"/>
    <w:rsid w:val="00BA3A68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7E62"/>
    <w:rsid w:val="00BF0C45"/>
    <w:rsid w:val="00BF24B5"/>
    <w:rsid w:val="00BF286A"/>
    <w:rsid w:val="00BF48A4"/>
    <w:rsid w:val="00BF7702"/>
    <w:rsid w:val="00C00FCA"/>
    <w:rsid w:val="00C07B12"/>
    <w:rsid w:val="00C24EC2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2823"/>
    <w:rsid w:val="00D35D53"/>
    <w:rsid w:val="00D409DD"/>
    <w:rsid w:val="00D43555"/>
    <w:rsid w:val="00D5103F"/>
    <w:rsid w:val="00D52B35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3E53"/>
    <w:rsid w:val="00DB7AD7"/>
    <w:rsid w:val="00DC1B9C"/>
    <w:rsid w:val="00DC1BFA"/>
    <w:rsid w:val="00DC40F5"/>
    <w:rsid w:val="00DC4B3E"/>
    <w:rsid w:val="00DC74E7"/>
    <w:rsid w:val="00DD4CC6"/>
    <w:rsid w:val="00DE2076"/>
    <w:rsid w:val="00DE60D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2EB7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41D9D"/>
    <w:rsid w:val="00F4519B"/>
    <w:rsid w:val="00F45958"/>
    <w:rsid w:val="00F46618"/>
    <w:rsid w:val="00F47751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90FE7"/>
    <w:rsid w:val="00F91C69"/>
    <w:rsid w:val="00F924C7"/>
    <w:rsid w:val="00F96196"/>
    <w:rsid w:val="00F97A24"/>
    <w:rsid w:val="00F97DF8"/>
    <w:rsid w:val="00FA09D1"/>
    <w:rsid w:val="00FA1330"/>
    <w:rsid w:val="00FA1FEA"/>
    <w:rsid w:val="00FA23B4"/>
    <w:rsid w:val="00FA23CF"/>
    <w:rsid w:val="00FA2F64"/>
    <w:rsid w:val="00FB3835"/>
    <w:rsid w:val="00FB40B2"/>
    <w:rsid w:val="00FB553A"/>
    <w:rsid w:val="00FB65D5"/>
    <w:rsid w:val="00FD265D"/>
    <w:rsid w:val="00FD34E6"/>
    <w:rsid w:val="00FD38B8"/>
    <w:rsid w:val="00FD5281"/>
    <w:rsid w:val="00FE528A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CC11-C7B5-4DBB-9AF0-0AB4C135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886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74</cp:revision>
  <cp:lastPrinted>2018-06-13T16:29:00Z</cp:lastPrinted>
  <dcterms:created xsi:type="dcterms:W3CDTF">2018-06-13T16:17:00Z</dcterms:created>
  <dcterms:modified xsi:type="dcterms:W3CDTF">2018-11-15T23:03:00Z</dcterms:modified>
</cp:coreProperties>
</file>